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4499C" w14:textId="77777777" w:rsidR="00E83E33" w:rsidRPr="00E83E33" w:rsidRDefault="00E83E33" w:rsidP="00E83E3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938C581" w14:textId="3D47AB63" w:rsidR="00E83E33" w:rsidRDefault="00E83E33" w:rsidP="00E83E3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186D494" w14:textId="77777777" w:rsidR="00597166" w:rsidRPr="00597166" w:rsidRDefault="00597166" w:rsidP="00E83E33">
      <w:pPr>
        <w:suppressAutoHyphens/>
        <w:spacing w:after="0" w:line="240" w:lineRule="auto"/>
        <w:jc w:val="center"/>
        <w:rPr>
          <w:rFonts w:asciiTheme="minorHAnsi" w:eastAsia="Times New Roman" w:hAnsiTheme="minorHAnsi" w:cstheme="minorHAnsi"/>
          <w:b/>
          <w:color w:val="00B050"/>
          <w:sz w:val="24"/>
          <w:szCs w:val="24"/>
          <w:lang w:eastAsia="zh-CN"/>
        </w:rPr>
      </w:pPr>
    </w:p>
    <w:p w14:paraId="443588EA" w14:textId="0CC8CF73" w:rsidR="00BF1EE1" w:rsidRDefault="00597166" w:rsidP="00BF1EE1">
      <w:pPr>
        <w:jc w:val="center"/>
        <w:rPr>
          <w:rStyle w:val="Hyperlink"/>
          <w:rFonts w:asciiTheme="minorHAnsi" w:hAnsiTheme="minorHAnsi" w:cstheme="minorHAnsi"/>
        </w:rPr>
      </w:pPr>
      <w:r>
        <w:rPr>
          <w:rFonts w:asciiTheme="minorHAnsi" w:hAnsiTheme="minorHAnsi" w:cstheme="minorHAnsi"/>
        </w:rPr>
        <w:t xml:space="preserve">Website: </w:t>
      </w:r>
      <w:hyperlink r:id="rId7" w:history="1">
        <w:r w:rsidR="00125256" w:rsidRPr="00825617">
          <w:rPr>
            <w:rStyle w:val="Hyperlink"/>
            <w:rFonts w:asciiTheme="minorHAnsi" w:hAnsiTheme="minorHAnsi" w:cstheme="minorHAnsi"/>
          </w:rPr>
          <w:t>https://walthampc.org.uk</w:t>
        </w:r>
      </w:hyperlink>
    </w:p>
    <w:p w14:paraId="4EA7EB78" w14:textId="715DE383" w:rsidR="00482513" w:rsidRDefault="00482513" w:rsidP="00BF1EE1">
      <w:pPr>
        <w:jc w:val="center"/>
        <w:rPr>
          <w:rStyle w:val="Hyperlink"/>
          <w:rFonts w:asciiTheme="minorHAnsi" w:hAnsiTheme="minorHAnsi" w:cstheme="minorHAnsi"/>
          <w:b/>
          <w:bCs/>
          <w:color w:val="auto"/>
          <w:sz w:val="28"/>
          <w:szCs w:val="28"/>
          <w:u w:val="none"/>
        </w:rPr>
      </w:pPr>
      <w:r w:rsidRPr="00482513">
        <w:rPr>
          <w:rStyle w:val="Hyperlink"/>
          <w:rFonts w:asciiTheme="minorHAnsi" w:hAnsiTheme="minorHAnsi" w:cstheme="minorHAnsi"/>
          <w:b/>
          <w:bCs/>
          <w:color w:val="auto"/>
          <w:sz w:val="28"/>
          <w:szCs w:val="28"/>
          <w:u w:val="none"/>
        </w:rPr>
        <w:t>Discussion</w:t>
      </w:r>
      <w:r>
        <w:rPr>
          <w:rStyle w:val="Hyperlink"/>
          <w:rFonts w:asciiTheme="minorHAnsi" w:hAnsiTheme="minorHAnsi" w:cstheme="minorHAnsi"/>
          <w:b/>
          <w:bCs/>
          <w:color w:val="auto"/>
          <w:sz w:val="28"/>
          <w:szCs w:val="28"/>
          <w:u w:val="none"/>
        </w:rPr>
        <w:t xml:space="preserve"> Paper on Grant Provision </w:t>
      </w:r>
      <w:r w:rsidR="003707D1">
        <w:rPr>
          <w:rStyle w:val="Hyperlink"/>
          <w:rFonts w:asciiTheme="minorHAnsi" w:hAnsiTheme="minorHAnsi" w:cstheme="minorHAnsi"/>
          <w:b/>
          <w:bCs/>
          <w:color w:val="auto"/>
          <w:sz w:val="28"/>
          <w:szCs w:val="28"/>
          <w:u w:val="none"/>
        </w:rPr>
        <w:t xml:space="preserve">to St </w:t>
      </w:r>
      <w:r w:rsidR="00116683">
        <w:rPr>
          <w:rStyle w:val="Hyperlink"/>
          <w:rFonts w:asciiTheme="minorHAnsi" w:hAnsiTheme="minorHAnsi" w:cstheme="minorHAnsi"/>
          <w:b/>
          <w:bCs/>
          <w:color w:val="auto"/>
          <w:sz w:val="28"/>
          <w:szCs w:val="28"/>
          <w:u w:val="none"/>
        </w:rPr>
        <w:t>Bartholomew’s</w:t>
      </w:r>
      <w:r w:rsidR="003707D1">
        <w:rPr>
          <w:rStyle w:val="Hyperlink"/>
          <w:rFonts w:asciiTheme="minorHAnsi" w:hAnsiTheme="minorHAnsi" w:cstheme="minorHAnsi"/>
          <w:b/>
          <w:bCs/>
          <w:color w:val="auto"/>
          <w:sz w:val="28"/>
          <w:szCs w:val="28"/>
          <w:u w:val="none"/>
        </w:rPr>
        <w:t xml:space="preserve"> Church</w:t>
      </w:r>
    </w:p>
    <w:p w14:paraId="39EE0683" w14:textId="77777777" w:rsidR="00D449CE" w:rsidRDefault="00D449CE" w:rsidP="00BF1EE1">
      <w:pPr>
        <w:jc w:val="center"/>
        <w:rPr>
          <w:rStyle w:val="Hyperlink"/>
          <w:rFonts w:asciiTheme="minorHAnsi" w:hAnsiTheme="minorHAnsi" w:cstheme="minorHAnsi"/>
          <w:b/>
          <w:bCs/>
          <w:color w:val="auto"/>
          <w:sz w:val="28"/>
          <w:szCs w:val="28"/>
          <w:u w:val="none"/>
        </w:rPr>
      </w:pPr>
    </w:p>
    <w:p w14:paraId="668A6612" w14:textId="2C75F657" w:rsidR="00482513" w:rsidRDefault="00482513" w:rsidP="00482513">
      <w:pPr>
        <w:spacing w:after="0"/>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Introduction:</w:t>
      </w:r>
    </w:p>
    <w:p w14:paraId="44783BE6" w14:textId="7692C4C9" w:rsidR="003707D1" w:rsidRDefault="003707D1"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There is a requirement for </w:t>
      </w:r>
      <w:r w:rsidR="00313A8A">
        <w:rPr>
          <w:rStyle w:val="Hyperlink"/>
          <w:rFonts w:asciiTheme="minorHAnsi" w:hAnsiTheme="minorHAnsi" w:cstheme="minorHAnsi"/>
          <w:color w:val="auto"/>
          <w:u w:val="none"/>
        </w:rPr>
        <w:t xml:space="preserve">a </w:t>
      </w:r>
      <w:r>
        <w:rPr>
          <w:rStyle w:val="Hyperlink"/>
          <w:rFonts w:asciiTheme="minorHAnsi" w:hAnsiTheme="minorHAnsi" w:cstheme="minorHAnsi"/>
          <w:color w:val="auto"/>
          <w:u w:val="none"/>
        </w:rPr>
        <w:t xml:space="preserve">parish council to act within the law </w:t>
      </w:r>
      <w:r w:rsidR="00313A8A">
        <w:rPr>
          <w:rStyle w:val="Hyperlink"/>
          <w:rFonts w:asciiTheme="minorHAnsi" w:hAnsiTheme="minorHAnsi" w:cstheme="minorHAnsi"/>
          <w:color w:val="auto"/>
          <w:u w:val="none"/>
        </w:rPr>
        <w:t>when making arrangements for the proper administration of its affairs, especially those where the use of public money is involved. This discussion paper examines previous practice of providing grant</w:t>
      </w:r>
      <w:r w:rsidR="008A7535">
        <w:rPr>
          <w:rStyle w:val="Hyperlink"/>
          <w:rFonts w:asciiTheme="minorHAnsi" w:hAnsiTheme="minorHAnsi" w:cstheme="minorHAnsi"/>
          <w:color w:val="auto"/>
          <w:u w:val="none"/>
        </w:rPr>
        <w:t xml:space="preserve"> to St </w:t>
      </w:r>
      <w:r w:rsidR="00116683">
        <w:rPr>
          <w:rStyle w:val="Hyperlink"/>
          <w:rFonts w:asciiTheme="minorHAnsi" w:hAnsiTheme="minorHAnsi" w:cstheme="minorHAnsi"/>
          <w:color w:val="auto"/>
          <w:u w:val="none"/>
        </w:rPr>
        <w:t>Bartholomew’s</w:t>
      </w:r>
      <w:r w:rsidR="00E855D9">
        <w:rPr>
          <w:rStyle w:val="Hyperlink"/>
          <w:rFonts w:asciiTheme="minorHAnsi" w:hAnsiTheme="minorHAnsi" w:cstheme="minorHAnsi"/>
          <w:color w:val="auto"/>
          <w:u w:val="none"/>
        </w:rPr>
        <w:t xml:space="preserve"> for churchyard maintenance</w:t>
      </w:r>
      <w:r w:rsidR="00313A8A">
        <w:rPr>
          <w:rStyle w:val="Hyperlink"/>
          <w:rFonts w:asciiTheme="minorHAnsi" w:hAnsiTheme="minorHAnsi" w:cstheme="minorHAnsi"/>
          <w:color w:val="auto"/>
          <w:u w:val="none"/>
        </w:rPr>
        <w:t>;</w:t>
      </w:r>
      <w:r w:rsidR="00F83758">
        <w:rPr>
          <w:rStyle w:val="Hyperlink"/>
          <w:rFonts w:asciiTheme="minorHAnsi" w:hAnsiTheme="minorHAnsi" w:cstheme="minorHAnsi"/>
          <w:color w:val="auto"/>
          <w:u w:val="none"/>
        </w:rPr>
        <w:t xml:space="preserve"> provides information about other parishes practice in the area;</w:t>
      </w:r>
      <w:r w:rsidR="00313A8A">
        <w:rPr>
          <w:rStyle w:val="Hyperlink"/>
          <w:rFonts w:asciiTheme="minorHAnsi" w:hAnsiTheme="minorHAnsi" w:cstheme="minorHAnsi"/>
          <w:color w:val="auto"/>
          <w:u w:val="none"/>
        </w:rPr>
        <w:t xml:space="preserve"> highlights the complex legislation concerning provision;</w:t>
      </w:r>
      <w:r w:rsidR="0004432D">
        <w:rPr>
          <w:rStyle w:val="Hyperlink"/>
          <w:rFonts w:asciiTheme="minorHAnsi" w:hAnsiTheme="minorHAnsi" w:cstheme="minorHAnsi"/>
          <w:color w:val="auto"/>
          <w:u w:val="none"/>
        </w:rPr>
        <w:t xml:space="preserve"> summarises the opinions of </w:t>
      </w:r>
      <w:r w:rsidR="00F83758">
        <w:rPr>
          <w:rStyle w:val="Hyperlink"/>
          <w:rFonts w:asciiTheme="minorHAnsi" w:hAnsiTheme="minorHAnsi" w:cstheme="minorHAnsi"/>
          <w:color w:val="auto"/>
          <w:u w:val="none"/>
        </w:rPr>
        <w:t xml:space="preserve">national </w:t>
      </w:r>
      <w:r w:rsidR="0004432D">
        <w:rPr>
          <w:rStyle w:val="Hyperlink"/>
          <w:rFonts w:asciiTheme="minorHAnsi" w:hAnsiTheme="minorHAnsi" w:cstheme="minorHAnsi"/>
          <w:color w:val="auto"/>
          <w:u w:val="none"/>
        </w:rPr>
        <w:t>experts</w:t>
      </w:r>
      <w:r w:rsidR="00020832">
        <w:rPr>
          <w:rStyle w:val="Hyperlink"/>
          <w:rFonts w:asciiTheme="minorHAnsi" w:hAnsiTheme="minorHAnsi" w:cstheme="minorHAnsi"/>
          <w:color w:val="auto"/>
          <w:u w:val="none"/>
        </w:rPr>
        <w:t xml:space="preserve"> </w:t>
      </w:r>
      <w:r w:rsidR="00F83758">
        <w:rPr>
          <w:rStyle w:val="Hyperlink"/>
          <w:rFonts w:asciiTheme="minorHAnsi" w:hAnsiTheme="minorHAnsi" w:cstheme="minorHAnsi"/>
          <w:color w:val="auto"/>
          <w:u w:val="none"/>
        </w:rPr>
        <w:t xml:space="preserve">and </w:t>
      </w:r>
      <w:r w:rsidR="00AA34A5">
        <w:rPr>
          <w:rStyle w:val="Hyperlink"/>
          <w:rFonts w:asciiTheme="minorHAnsi" w:hAnsiTheme="minorHAnsi" w:cstheme="minorHAnsi"/>
          <w:color w:val="auto"/>
          <w:u w:val="none"/>
        </w:rPr>
        <w:t xml:space="preserve">suggests </w:t>
      </w:r>
      <w:r w:rsidR="00DA6DFC">
        <w:rPr>
          <w:rStyle w:val="Hyperlink"/>
          <w:rFonts w:asciiTheme="minorHAnsi" w:hAnsiTheme="minorHAnsi" w:cstheme="minorHAnsi"/>
          <w:color w:val="auto"/>
          <w:u w:val="none"/>
        </w:rPr>
        <w:t>points</w:t>
      </w:r>
      <w:r w:rsidR="00AA34A5">
        <w:rPr>
          <w:rStyle w:val="Hyperlink"/>
          <w:rFonts w:asciiTheme="minorHAnsi" w:hAnsiTheme="minorHAnsi" w:cstheme="minorHAnsi"/>
          <w:color w:val="auto"/>
          <w:u w:val="none"/>
        </w:rPr>
        <w:t xml:space="preserve"> </w:t>
      </w:r>
      <w:r w:rsidR="00F83758">
        <w:rPr>
          <w:rStyle w:val="Hyperlink"/>
          <w:rFonts w:asciiTheme="minorHAnsi" w:hAnsiTheme="minorHAnsi" w:cstheme="minorHAnsi"/>
          <w:color w:val="auto"/>
          <w:u w:val="none"/>
        </w:rPr>
        <w:t>for consideration</w:t>
      </w:r>
      <w:r w:rsidR="008A7535">
        <w:rPr>
          <w:rStyle w:val="Hyperlink"/>
          <w:rFonts w:asciiTheme="minorHAnsi" w:hAnsiTheme="minorHAnsi" w:cstheme="minorHAnsi"/>
          <w:color w:val="auto"/>
          <w:u w:val="none"/>
        </w:rPr>
        <w:t xml:space="preserve"> by </w:t>
      </w:r>
      <w:r w:rsidR="008A7535" w:rsidRPr="00B233EF">
        <w:rPr>
          <w:rStyle w:val="Hyperlink"/>
          <w:rFonts w:asciiTheme="minorHAnsi" w:hAnsiTheme="minorHAnsi" w:cstheme="minorHAnsi"/>
          <w:color w:val="auto"/>
          <w:u w:val="none"/>
        </w:rPr>
        <w:t>Members</w:t>
      </w:r>
      <w:r w:rsidR="00F83758" w:rsidRPr="00B233EF">
        <w:rPr>
          <w:rStyle w:val="Hyperlink"/>
          <w:rFonts w:asciiTheme="minorHAnsi" w:hAnsiTheme="minorHAnsi" w:cstheme="minorHAnsi"/>
          <w:color w:val="auto"/>
          <w:u w:val="none"/>
        </w:rPr>
        <w:t>.</w:t>
      </w:r>
    </w:p>
    <w:p w14:paraId="4EC380AD" w14:textId="77777777" w:rsidR="00C54EBB" w:rsidRPr="003707D1" w:rsidRDefault="00C54EBB" w:rsidP="00482513">
      <w:pPr>
        <w:spacing w:after="0"/>
        <w:rPr>
          <w:rStyle w:val="Hyperlink"/>
          <w:rFonts w:asciiTheme="minorHAnsi" w:hAnsiTheme="minorHAnsi" w:cstheme="minorHAnsi"/>
          <w:color w:val="auto"/>
          <w:u w:val="none"/>
        </w:rPr>
      </w:pPr>
    </w:p>
    <w:p w14:paraId="1322E44E" w14:textId="29EA6E5B" w:rsidR="009551DA" w:rsidRDefault="009551DA" w:rsidP="004E6971">
      <w:pPr>
        <w:spacing w:after="0"/>
        <w:jc w:val="both"/>
        <w:rPr>
          <w:rStyle w:val="Hyperlink"/>
          <w:rFonts w:asciiTheme="minorHAnsi" w:hAnsiTheme="minorHAnsi" w:cstheme="minorHAnsi"/>
          <w:b/>
          <w:bCs/>
          <w:color w:val="auto"/>
          <w:u w:val="none"/>
        </w:rPr>
      </w:pPr>
      <w:r w:rsidRPr="009551DA">
        <w:rPr>
          <w:rStyle w:val="Hyperlink"/>
          <w:rFonts w:asciiTheme="minorHAnsi" w:hAnsiTheme="minorHAnsi" w:cstheme="minorHAnsi"/>
          <w:b/>
          <w:bCs/>
          <w:color w:val="auto"/>
          <w:u w:val="none"/>
        </w:rPr>
        <w:t>The historical background to grant provision</w:t>
      </w:r>
      <w:r w:rsidR="00D51B2F">
        <w:rPr>
          <w:rStyle w:val="Hyperlink"/>
          <w:rFonts w:asciiTheme="minorHAnsi" w:hAnsiTheme="minorHAnsi" w:cstheme="minorHAnsi"/>
          <w:b/>
          <w:bCs/>
          <w:color w:val="auto"/>
          <w:u w:val="none"/>
        </w:rPr>
        <w:t>:</w:t>
      </w:r>
    </w:p>
    <w:p w14:paraId="21986543" w14:textId="29C51A90" w:rsidR="008A7535" w:rsidRDefault="008A7535"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The financial support provided by Waltham Parish Council (WPC) </w:t>
      </w:r>
      <w:r w:rsidR="007352B5">
        <w:rPr>
          <w:rStyle w:val="Hyperlink"/>
          <w:rFonts w:asciiTheme="minorHAnsi" w:hAnsiTheme="minorHAnsi" w:cstheme="minorHAnsi"/>
          <w:color w:val="auto"/>
          <w:u w:val="none"/>
        </w:rPr>
        <w:t xml:space="preserve">to assist with the maintenance of an open churchyard </w:t>
      </w:r>
      <w:r w:rsidR="00E855D9">
        <w:rPr>
          <w:rStyle w:val="Hyperlink"/>
          <w:rFonts w:asciiTheme="minorHAnsi" w:hAnsiTheme="minorHAnsi" w:cstheme="minorHAnsi"/>
          <w:color w:val="auto"/>
          <w:u w:val="none"/>
        </w:rPr>
        <w:t>has been custom and practice</w:t>
      </w:r>
      <w:r>
        <w:rPr>
          <w:rStyle w:val="Hyperlink"/>
          <w:rFonts w:asciiTheme="minorHAnsi" w:hAnsiTheme="minorHAnsi" w:cstheme="minorHAnsi"/>
          <w:color w:val="auto"/>
          <w:u w:val="none"/>
        </w:rPr>
        <w:t xml:space="preserve"> </w:t>
      </w:r>
      <w:r w:rsidR="00E855D9">
        <w:rPr>
          <w:rStyle w:val="Hyperlink"/>
          <w:rFonts w:asciiTheme="minorHAnsi" w:hAnsiTheme="minorHAnsi" w:cstheme="minorHAnsi"/>
          <w:color w:val="auto"/>
          <w:u w:val="none"/>
        </w:rPr>
        <w:t xml:space="preserve">for </w:t>
      </w:r>
      <w:r>
        <w:rPr>
          <w:rStyle w:val="Hyperlink"/>
          <w:rFonts w:asciiTheme="minorHAnsi" w:hAnsiTheme="minorHAnsi" w:cstheme="minorHAnsi"/>
          <w:color w:val="auto"/>
          <w:u w:val="none"/>
        </w:rPr>
        <w:t>many years</w:t>
      </w:r>
      <w:r w:rsidR="00236376">
        <w:rPr>
          <w:rStyle w:val="Hyperlink"/>
          <w:rFonts w:asciiTheme="minorHAnsi" w:hAnsiTheme="minorHAnsi" w:cstheme="minorHAnsi"/>
          <w:color w:val="auto"/>
          <w:u w:val="none"/>
        </w:rPr>
        <w:t xml:space="preserve">. </w:t>
      </w:r>
      <w:r w:rsidR="008D1EF1">
        <w:rPr>
          <w:rStyle w:val="Hyperlink"/>
          <w:rFonts w:asciiTheme="minorHAnsi" w:hAnsiTheme="minorHAnsi" w:cstheme="minorHAnsi"/>
          <w:color w:val="auto"/>
          <w:u w:val="none"/>
        </w:rPr>
        <w:t>Minutes</w:t>
      </w:r>
      <w:r w:rsidR="00236376">
        <w:rPr>
          <w:rStyle w:val="Hyperlink"/>
          <w:rFonts w:asciiTheme="minorHAnsi" w:hAnsiTheme="minorHAnsi" w:cstheme="minorHAnsi"/>
          <w:color w:val="auto"/>
          <w:u w:val="none"/>
        </w:rPr>
        <w:t xml:space="preserve"> show </w:t>
      </w:r>
      <w:r w:rsidR="008D1EF1">
        <w:rPr>
          <w:rStyle w:val="Hyperlink"/>
          <w:rFonts w:asciiTheme="minorHAnsi" w:hAnsiTheme="minorHAnsi" w:cstheme="minorHAnsi"/>
          <w:color w:val="auto"/>
          <w:u w:val="none"/>
        </w:rPr>
        <w:t>a payment of £177 in 1997 but no record can be found of a formal agreement. More recently annual budgets show g</w:t>
      </w:r>
      <w:r w:rsidR="00C72D09">
        <w:rPr>
          <w:rStyle w:val="Hyperlink"/>
          <w:rFonts w:asciiTheme="minorHAnsi" w:hAnsiTheme="minorHAnsi" w:cstheme="minorHAnsi"/>
          <w:color w:val="auto"/>
          <w:u w:val="none"/>
        </w:rPr>
        <w:t>r</w:t>
      </w:r>
      <w:r w:rsidR="008D1EF1">
        <w:rPr>
          <w:rStyle w:val="Hyperlink"/>
          <w:rFonts w:asciiTheme="minorHAnsi" w:hAnsiTheme="minorHAnsi" w:cstheme="minorHAnsi"/>
          <w:color w:val="auto"/>
          <w:u w:val="none"/>
        </w:rPr>
        <w:t>ants for churchyard maintenance</w:t>
      </w:r>
      <w:r w:rsidR="00C72D09">
        <w:rPr>
          <w:rStyle w:val="Hyperlink"/>
          <w:rFonts w:asciiTheme="minorHAnsi" w:hAnsiTheme="minorHAnsi" w:cstheme="minorHAnsi"/>
          <w:color w:val="auto"/>
          <w:u w:val="none"/>
        </w:rPr>
        <w:t xml:space="preserve"> averaging</w:t>
      </w:r>
      <w:r w:rsidR="00AB1D21">
        <w:rPr>
          <w:rStyle w:val="Hyperlink"/>
          <w:rFonts w:asciiTheme="minorHAnsi" w:hAnsiTheme="minorHAnsi" w:cstheme="minorHAnsi"/>
          <w:color w:val="auto"/>
          <w:u w:val="none"/>
        </w:rPr>
        <w:t xml:space="preserve"> </w:t>
      </w:r>
      <w:r w:rsidR="00C72D09">
        <w:rPr>
          <w:rStyle w:val="Hyperlink"/>
          <w:rFonts w:asciiTheme="minorHAnsi" w:hAnsiTheme="minorHAnsi" w:cstheme="minorHAnsi"/>
          <w:color w:val="auto"/>
          <w:u w:val="none"/>
        </w:rPr>
        <w:t>just over £800 over the past seven years.</w:t>
      </w:r>
    </w:p>
    <w:p w14:paraId="0BA0266A" w14:textId="19EE6CC1" w:rsidR="00AB1D21" w:rsidRDefault="00AB1D21" w:rsidP="004E6971">
      <w:pPr>
        <w:spacing w:after="0"/>
        <w:jc w:val="both"/>
        <w:rPr>
          <w:rStyle w:val="Hyperlink"/>
          <w:rFonts w:asciiTheme="minorHAnsi" w:hAnsiTheme="minorHAnsi" w:cstheme="minorHAnsi"/>
          <w:color w:val="auto"/>
          <w:u w:val="none"/>
        </w:rPr>
      </w:pPr>
    </w:p>
    <w:p w14:paraId="6ACEDD16" w14:textId="66EE6C54" w:rsidR="00AB1D21" w:rsidRDefault="00AB1D21" w:rsidP="004E6971">
      <w:pPr>
        <w:spacing w:after="0"/>
        <w:jc w:val="both"/>
        <w:rPr>
          <w:rStyle w:val="Hyperlink"/>
          <w:rFonts w:asciiTheme="minorHAnsi" w:hAnsiTheme="minorHAnsi" w:cstheme="minorHAnsi"/>
          <w:b/>
          <w:bCs/>
          <w:color w:val="auto"/>
          <w:u w:val="none"/>
        </w:rPr>
      </w:pPr>
      <w:r w:rsidRPr="00AB1D21">
        <w:rPr>
          <w:rStyle w:val="Hyperlink"/>
          <w:rFonts w:asciiTheme="minorHAnsi" w:hAnsiTheme="minorHAnsi" w:cstheme="minorHAnsi"/>
          <w:b/>
          <w:bCs/>
          <w:color w:val="auto"/>
          <w:u w:val="none"/>
        </w:rPr>
        <w:t xml:space="preserve">Other </w:t>
      </w:r>
      <w:r>
        <w:rPr>
          <w:rStyle w:val="Hyperlink"/>
          <w:rFonts w:asciiTheme="minorHAnsi" w:hAnsiTheme="minorHAnsi" w:cstheme="minorHAnsi"/>
          <w:b/>
          <w:bCs/>
          <w:color w:val="auto"/>
          <w:u w:val="none"/>
        </w:rPr>
        <w:t>p</w:t>
      </w:r>
      <w:r w:rsidRPr="00AB1D21">
        <w:rPr>
          <w:rStyle w:val="Hyperlink"/>
          <w:rFonts w:asciiTheme="minorHAnsi" w:hAnsiTheme="minorHAnsi" w:cstheme="minorHAnsi"/>
          <w:b/>
          <w:bCs/>
          <w:color w:val="auto"/>
          <w:u w:val="none"/>
        </w:rPr>
        <w:t xml:space="preserve">arishes in the </w:t>
      </w:r>
      <w:r>
        <w:rPr>
          <w:rStyle w:val="Hyperlink"/>
          <w:rFonts w:asciiTheme="minorHAnsi" w:hAnsiTheme="minorHAnsi" w:cstheme="minorHAnsi"/>
          <w:b/>
          <w:bCs/>
          <w:color w:val="auto"/>
          <w:u w:val="none"/>
        </w:rPr>
        <w:t>a</w:t>
      </w:r>
      <w:r w:rsidRPr="00AB1D21">
        <w:rPr>
          <w:rStyle w:val="Hyperlink"/>
          <w:rFonts w:asciiTheme="minorHAnsi" w:hAnsiTheme="minorHAnsi" w:cstheme="minorHAnsi"/>
          <w:b/>
          <w:bCs/>
          <w:color w:val="auto"/>
          <w:u w:val="none"/>
        </w:rPr>
        <w:t>rea:</w:t>
      </w:r>
    </w:p>
    <w:p w14:paraId="63BEC168" w14:textId="63B8F632" w:rsidR="006C6A81" w:rsidRPr="006C6A81" w:rsidRDefault="006C6A81"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A survey of </w:t>
      </w:r>
      <w:r w:rsidR="008A125F">
        <w:rPr>
          <w:rStyle w:val="Hyperlink"/>
          <w:rFonts w:asciiTheme="minorHAnsi" w:hAnsiTheme="minorHAnsi" w:cstheme="minorHAnsi"/>
          <w:color w:val="auto"/>
          <w:u w:val="none"/>
        </w:rPr>
        <w:t xml:space="preserve">accounts on </w:t>
      </w:r>
      <w:r>
        <w:rPr>
          <w:rStyle w:val="Hyperlink"/>
          <w:rFonts w:asciiTheme="minorHAnsi" w:hAnsiTheme="minorHAnsi" w:cstheme="minorHAnsi"/>
          <w:color w:val="auto"/>
          <w:u w:val="none"/>
        </w:rPr>
        <w:t>twenty four parish council websites indicates that seven r</w:t>
      </w:r>
      <w:r w:rsidR="008A125F">
        <w:rPr>
          <w:rStyle w:val="Hyperlink"/>
          <w:rFonts w:asciiTheme="minorHAnsi" w:hAnsiTheme="minorHAnsi" w:cstheme="minorHAnsi"/>
          <w:color w:val="auto"/>
          <w:u w:val="none"/>
        </w:rPr>
        <w:t>ecord grant provision to parochial church councils (PCC) for open churchyard maintenance; one is a Burial Authority (Chartham); and one (Wye) receives £2,000 per annum from the PCC  to include the churchyard in maintenance contracts.</w:t>
      </w:r>
    </w:p>
    <w:p w14:paraId="68192EAA" w14:textId="77777777" w:rsidR="00C54EBB" w:rsidRPr="008A7535" w:rsidRDefault="00C54EBB" w:rsidP="004E6971">
      <w:pPr>
        <w:spacing w:after="0"/>
        <w:jc w:val="both"/>
        <w:rPr>
          <w:rStyle w:val="Hyperlink"/>
          <w:rFonts w:asciiTheme="minorHAnsi" w:hAnsiTheme="minorHAnsi" w:cstheme="minorHAnsi"/>
          <w:color w:val="auto"/>
          <w:u w:val="none"/>
        </w:rPr>
      </w:pPr>
    </w:p>
    <w:p w14:paraId="7A5E742E" w14:textId="7A7DE171" w:rsidR="003707D1" w:rsidRDefault="003707D1" w:rsidP="004E6971">
      <w:p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Legislation concerning grant provision:</w:t>
      </w:r>
    </w:p>
    <w:p w14:paraId="002C6F34" w14:textId="4C4A655E" w:rsidR="006227C9" w:rsidRPr="00915F8A" w:rsidRDefault="007352B5" w:rsidP="00915F8A">
      <w:pPr>
        <w:spacing w:after="0"/>
        <w:jc w:val="both"/>
        <w:rPr>
          <w:rStyle w:val="Hyperlink"/>
          <w:rFonts w:asciiTheme="minorHAnsi" w:hAnsiTheme="minorHAnsi" w:cstheme="minorHAnsi"/>
          <w:i/>
          <w:iCs/>
          <w:color w:val="auto"/>
          <w:u w:val="none"/>
        </w:rPr>
      </w:pPr>
      <w:r w:rsidRPr="00C54EBB">
        <w:rPr>
          <w:rStyle w:val="Hyperlink"/>
          <w:rFonts w:asciiTheme="minorHAnsi" w:hAnsiTheme="minorHAnsi" w:cstheme="minorHAnsi"/>
          <w:b/>
          <w:bCs/>
          <w:color w:val="auto"/>
          <w:u w:val="none"/>
        </w:rPr>
        <w:t xml:space="preserve">s.6(1) (a) </w:t>
      </w:r>
      <w:r w:rsidR="00C54EBB" w:rsidRPr="00C54EBB">
        <w:rPr>
          <w:rStyle w:val="Hyperlink"/>
          <w:rFonts w:asciiTheme="minorHAnsi" w:hAnsiTheme="minorHAnsi" w:cstheme="minorHAnsi"/>
          <w:b/>
          <w:bCs/>
          <w:color w:val="auto"/>
          <w:u w:val="none"/>
        </w:rPr>
        <w:t>of the Local Government Act 1894</w:t>
      </w:r>
      <w:r w:rsidR="00C54EBB">
        <w:rPr>
          <w:rStyle w:val="Hyperlink"/>
          <w:rFonts w:asciiTheme="minorHAnsi" w:hAnsiTheme="minorHAnsi" w:cstheme="minorHAnsi"/>
          <w:color w:val="auto"/>
          <w:u w:val="none"/>
        </w:rPr>
        <w:t xml:space="preserve"> transferred powers from the Vestry and Churchwardens to the newly formed parish councils </w:t>
      </w:r>
      <w:r w:rsidR="00C54EBB" w:rsidRPr="008A125F">
        <w:rPr>
          <w:rStyle w:val="Hyperlink"/>
          <w:rFonts w:asciiTheme="minorHAnsi" w:hAnsiTheme="minorHAnsi" w:cstheme="minorHAnsi"/>
          <w:i/>
          <w:iCs/>
          <w:color w:val="auto"/>
          <w:u w:val="none"/>
        </w:rPr>
        <w:t xml:space="preserve">“except so far as relates to the affairs of the church or to ecclesiastical charities”. </w:t>
      </w:r>
      <w:r w:rsidR="00C54EBB">
        <w:rPr>
          <w:rStyle w:val="Hyperlink"/>
          <w:rFonts w:asciiTheme="minorHAnsi" w:hAnsiTheme="minorHAnsi" w:cstheme="minorHAnsi"/>
          <w:color w:val="auto"/>
          <w:u w:val="none"/>
        </w:rPr>
        <w:t>S.8 of the 1894 act gives parish councils further powers</w:t>
      </w:r>
      <w:r w:rsidR="006C559B">
        <w:rPr>
          <w:rStyle w:val="Hyperlink"/>
          <w:rFonts w:asciiTheme="minorHAnsi" w:hAnsiTheme="minorHAnsi" w:cstheme="minorHAnsi"/>
          <w:color w:val="auto"/>
          <w:u w:val="none"/>
        </w:rPr>
        <w:t xml:space="preserve"> but</w:t>
      </w:r>
      <w:r w:rsidR="00C54EBB">
        <w:rPr>
          <w:rStyle w:val="Hyperlink"/>
          <w:rFonts w:asciiTheme="minorHAnsi" w:hAnsiTheme="minorHAnsi" w:cstheme="minorHAnsi"/>
          <w:color w:val="auto"/>
          <w:u w:val="none"/>
        </w:rPr>
        <w:t xml:space="preserve"> includes a prohibition</w:t>
      </w:r>
      <w:r w:rsidR="006C559B">
        <w:rPr>
          <w:rStyle w:val="Hyperlink"/>
          <w:rFonts w:asciiTheme="minorHAnsi" w:hAnsiTheme="minorHAnsi" w:cstheme="minorHAnsi"/>
          <w:color w:val="auto"/>
          <w:u w:val="none"/>
        </w:rPr>
        <w:t xml:space="preserve"> </w:t>
      </w:r>
      <w:r w:rsidR="006C559B" w:rsidRPr="008A125F">
        <w:rPr>
          <w:rStyle w:val="Hyperlink"/>
          <w:rFonts w:asciiTheme="minorHAnsi" w:hAnsiTheme="minorHAnsi" w:cstheme="minorHAnsi"/>
          <w:i/>
          <w:iCs/>
          <w:color w:val="auto"/>
          <w:u w:val="none"/>
        </w:rPr>
        <w:t>“not being property relating to the affairs of the church or held for an ecclesiastical charity”.</w:t>
      </w:r>
    </w:p>
    <w:p w14:paraId="04D29615" w14:textId="3504108F" w:rsidR="00264D5A" w:rsidRPr="00915F8A" w:rsidRDefault="00264D5A" w:rsidP="004E6971">
      <w:pPr>
        <w:spacing w:after="0"/>
        <w:jc w:val="both"/>
        <w:rPr>
          <w:rStyle w:val="Hyperlink"/>
          <w:rFonts w:asciiTheme="minorHAnsi" w:hAnsiTheme="minorHAnsi" w:cstheme="minorHAnsi"/>
          <w:b/>
          <w:bCs/>
          <w:color w:val="auto"/>
          <w:u w:val="none"/>
        </w:rPr>
      </w:pPr>
      <w:r w:rsidRPr="00C72D09">
        <w:rPr>
          <w:rStyle w:val="Hyperlink"/>
          <w:rFonts w:asciiTheme="minorHAnsi" w:hAnsiTheme="minorHAnsi" w:cstheme="minorHAnsi"/>
          <w:color w:val="auto"/>
          <w:u w:val="none"/>
        </w:rPr>
        <w:t>Justification</w:t>
      </w:r>
      <w:r>
        <w:rPr>
          <w:rStyle w:val="Hyperlink"/>
          <w:rFonts w:asciiTheme="minorHAnsi" w:hAnsiTheme="minorHAnsi" w:cstheme="minorHAnsi"/>
          <w:color w:val="auto"/>
          <w:u w:val="none"/>
        </w:rPr>
        <w:t xml:space="preserve"> for WPC awarding a grant for churchyard maintenance</w:t>
      </w:r>
      <w:r w:rsidR="006227C9">
        <w:rPr>
          <w:rStyle w:val="Hyperlink"/>
          <w:rFonts w:asciiTheme="minorHAnsi" w:hAnsiTheme="minorHAnsi" w:cstheme="minorHAnsi"/>
          <w:color w:val="auto"/>
          <w:u w:val="none"/>
        </w:rPr>
        <w:t xml:space="preserve"> </w:t>
      </w:r>
      <w:r>
        <w:rPr>
          <w:rStyle w:val="Hyperlink"/>
          <w:rFonts w:asciiTheme="minorHAnsi" w:hAnsiTheme="minorHAnsi" w:cstheme="minorHAnsi"/>
          <w:color w:val="auto"/>
          <w:u w:val="none"/>
        </w:rPr>
        <w:t>is stated in</w:t>
      </w:r>
      <w:r w:rsidR="00DA6DFC">
        <w:rPr>
          <w:rStyle w:val="Hyperlink"/>
          <w:rFonts w:asciiTheme="minorHAnsi" w:hAnsiTheme="minorHAnsi" w:cstheme="minorHAnsi"/>
          <w:color w:val="auto"/>
          <w:u w:val="none"/>
        </w:rPr>
        <w:t xml:space="preserve"> financial</w:t>
      </w:r>
      <w:r>
        <w:rPr>
          <w:rStyle w:val="Hyperlink"/>
          <w:rFonts w:asciiTheme="minorHAnsi" w:hAnsiTheme="minorHAnsi" w:cstheme="minorHAnsi"/>
          <w:color w:val="auto"/>
          <w:u w:val="none"/>
        </w:rPr>
        <w:t xml:space="preserve"> records as the </w:t>
      </w:r>
      <w:r w:rsidRPr="00C72D09">
        <w:rPr>
          <w:rStyle w:val="Hyperlink"/>
          <w:rFonts w:asciiTheme="minorHAnsi" w:hAnsiTheme="minorHAnsi" w:cstheme="minorHAnsi"/>
          <w:b/>
          <w:bCs/>
          <w:color w:val="auto"/>
          <w:u w:val="none"/>
        </w:rPr>
        <w:t>Local Government Act 1972 s. 214(6).</w:t>
      </w:r>
      <w:r>
        <w:rPr>
          <w:rStyle w:val="Hyperlink"/>
          <w:rFonts w:asciiTheme="minorHAnsi" w:hAnsiTheme="minorHAnsi" w:cstheme="minorHAnsi"/>
          <w:b/>
          <w:bCs/>
          <w:color w:val="auto"/>
          <w:u w:val="none"/>
        </w:rPr>
        <w:t xml:space="preserve"> </w:t>
      </w:r>
      <w:r w:rsidRPr="00BB00DD">
        <w:rPr>
          <w:rStyle w:val="Hyperlink"/>
          <w:rFonts w:asciiTheme="minorHAnsi" w:hAnsiTheme="minorHAnsi" w:cstheme="minorHAnsi"/>
          <w:color w:val="auto"/>
          <w:u w:val="none"/>
        </w:rPr>
        <w:t>However</w:t>
      </w:r>
      <w:r>
        <w:rPr>
          <w:rStyle w:val="Hyperlink"/>
          <w:rFonts w:asciiTheme="minorHAnsi" w:hAnsiTheme="minorHAnsi" w:cstheme="minorHAnsi"/>
          <w:color w:val="auto"/>
          <w:u w:val="none"/>
        </w:rPr>
        <w:t>, the wording of that section is</w:t>
      </w:r>
      <w:r w:rsidRPr="00BB00DD">
        <w:rPr>
          <w:rStyle w:val="Hyperlink"/>
          <w:rFonts w:asciiTheme="minorHAnsi" w:hAnsiTheme="minorHAnsi" w:cstheme="minorHAnsi"/>
          <w:i/>
          <w:iCs/>
          <w:color w:val="auto"/>
          <w:u w:val="none"/>
        </w:rPr>
        <w:t xml:space="preserve"> “A burial authority may contribute towards any expenses incurred by any other person in providing or maintaining a cemetery in which the inhabitants of the authority’s area may be buried”.</w:t>
      </w:r>
      <w:r>
        <w:rPr>
          <w:rStyle w:val="Hyperlink"/>
          <w:rFonts w:asciiTheme="minorHAnsi" w:hAnsiTheme="minorHAnsi" w:cstheme="minorHAnsi"/>
          <w:i/>
          <w:iCs/>
          <w:color w:val="auto"/>
          <w:u w:val="none"/>
        </w:rPr>
        <w:t xml:space="preserve"> </w:t>
      </w:r>
      <w:r>
        <w:rPr>
          <w:rStyle w:val="Hyperlink"/>
          <w:rFonts w:asciiTheme="minorHAnsi" w:hAnsiTheme="minorHAnsi" w:cstheme="minorHAnsi"/>
          <w:color w:val="auto"/>
          <w:u w:val="none"/>
        </w:rPr>
        <w:t>A burial authority is defined as any burial board, any council, committee, or other local authority having the powers and duties of a burial board, and any local authority maintaining a cemetery under the Public Health (Interments</w:t>
      </w:r>
      <w:r w:rsidR="00915F8A">
        <w:rPr>
          <w:rStyle w:val="Hyperlink"/>
          <w:rFonts w:asciiTheme="minorHAnsi" w:hAnsiTheme="minorHAnsi" w:cstheme="minorHAnsi"/>
          <w:color w:val="auto"/>
          <w:u w:val="none"/>
        </w:rPr>
        <w:t>)</w:t>
      </w:r>
      <w:r>
        <w:rPr>
          <w:rStyle w:val="Hyperlink"/>
          <w:rFonts w:asciiTheme="minorHAnsi" w:hAnsiTheme="minorHAnsi" w:cstheme="minorHAnsi"/>
          <w:color w:val="auto"/>
          <w:u w:val="none"/>
        </w:rPr>
        <w:t xml:space="preserve"> Act, 1879 or any Local Act. It follows that WPC does not have the powers and duties of a burial board, is not a burial authority and use of s.214(6) may not be legally valid.</w:t>
      </w:r>
    </w:p>
    <w:p w14:paraId="340BB833" w14:textId="6FADFCD9" w:rsidR="00784CB0" w:rsidRDefault="00784CB0"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Further </w:t>
      </w:r>
      <w:r w:rsidR="00264D5A">
        <w:rPr>
          <w:rStyle w:val="Hyperlink"/>
          <w:rFonts w:asciiTheme="minorHAnsi" w:hAnsiTheme="minorHAnsi" w:cstheme="minorHAnsi"/>
          <w:color w:val="auto"/>
          <w:u w:val="none"/>
        </w:rPr>
        <w:t xml:space="preserve">relevant </w:t>
      </w:r>
      <w:r>
        <w:rPr>
          <w:rStyle w:val="Hyperlink"/>
          <w:rFonts w:asciiTheme="minorHAnsi" w:hAnsiTheme="minorHAnsi" w:cstheme="minorHAnsi"/>
          <w:color w:val="auto"/>
          <w:u w:val="none"/>
        </w:rPr>
        <w:t>legislation includes;</w:t>
      </w:r>
    </w:p>
    <w:p w14:paraId="422B8E9E" w14:textId="1334C0F8" w:rsidR="00784CB0" w:rsidRDefault="00784CB0" w:rsidP="00784CB0">
      <w:pPr>
        <w:pStyle w:val="ListParagraph"/>
        <w:numPr>
          <w:ilvl w:val="0"/>
          <w:numId w:val="2"/>
        </w:numPr>
        <w:spacing w:after="0"/>
        <w:jc w:val="both"/>
        <w:rPr>
          <w:rStyle w:val="Hyperlink"/>
          <w:rFonts w:asciiTheme="minorHAnsi" w:hAnsiTheme="minorHAnsi" w:cstheme="minorHAnsi"/>
          <w:color w:val="auto"/>
          <w:u w:val="none"/>
        </w:rPr>
      </w:pPr>
      <w:r w:rsidRPr="00784CB0">
        <w:rPr>
          <w:rStyle w:val="Hyperlink"/>
          <w:rFonts w:asciiTheme="minorHAnsi" w:hAnsiTheme="minorHAnsi" w:cstheme="minorHAnsi"/>
          <w:b/>
          <w:bCs/>
          <w:color w:val="auto"/>
          <w:u w:val="none"/>
        </w:rPr>
        <w:t>s.215 of the 1972 Act</w:t>
      </w:r>
      <w:r w:rsidRPr="00784CB0">
        <w:rPr>
          <w:rStyle w:val="Hyperlink"/>
          <w:rFonts w:asciiTheme="minorHAnsi" w:hAnsiTheme="minorHAnsi" w:cstheme="minorHAnsi"/>
          <w:color w:val="auto"/>
          <w:u w:val="none"/>
        </w:rPr>
        <w:t xml:space="preserve"> which permits a council to maintain a closed churchyard; </w:t>
      </w:r>
    </w:p>
    <w:p w14:paraId="69DB97A6" w14:textId="6E1411BB" w:rsidR="00784CB0" w:rsidRDefault="00784CB0" w:rsidP="00784CB0">
      <w:pPr>
        <w:pStyle w:val="ListParagraph"/>
        <w:numPr>
          <w:ilvl w:val="0"/>
          <w:numId w:val="2"/>
        </w:numPr>
        <w:spacing w:after="0"/>
        <w:jc w:val="both"/>
        <w:rPr>
          <w:rStyle w:val="Hyperlink"/>
          <w:rFonts w:asciiTheme="minorHAnsi" w:hAnsiTheme="minorHAnsi" w:cstheme="minorHAnsi"/>
          <w:color w:val="auto"/>
          <w:u w:val="none"/>
        </w:rPr>
      </w:pPr>
      <w:r>
        <w:rPr>
          <w:rStyle w:val="Hyperlink"/>
          <w:rFonts w:asciiTheme="minorHAnsi" w:hAnsiTheme="minorHAnsi" w:cstheme="minorHAnsi"/>
          <w:b/>
          <w:bCs/>
          <w:color w:val="auto"/>
          <w:u w:val="none"/>
        </w:rPr>
        <w:t xml:space="preserve">s.137 of the 1972 Act </w:t>
      </w:r>
      <w:r w:rsidRPr="00784CB0">
        <w:rPr>
          <w:rStyle w:val="Hyperlink"/>
          <w:rFonts w:asciiTheme="minorHAnsi" w:hAnsiTheme="minorHAnsi" w:cstheme="minorHAnsi"/>
          <w:color w:val="auto"/>
          <w:u w:val="none"/>
        </w:rPr>
        <w:t>which</w:t>
      </w:r>
      <w:r>
        <w:rPr>
          <w:rStyle w:val="Hyperlink"/>
          <w:rFonts w:asciiTheme="minorHAnsi" w:hAnsiTheme="minorHAnsi" w:cstheme="minorHAnsi"/>
          <w:color w:val="auto"/>
          <w:u w:val="none"/>
        </w:rPr>
        <w:t xml:space="preserve"> allows a council to incur expenditure for any purpose except</w:t>
      </w:r>
      <w:r w:rsidR="00264D5A">
        <w:rPr>
          <w:rStyle w:val="Hyperlink"/>
          <w:rFonts w:asciiTheme="minorHAnsi" w:hAnsiTheme="minorHAnsi" w:cstheme="minorHAnsi"/>
          <w:color w:val="auto"/>
          <w:u w:val="none"/>
        </w:rPr>
        <w:t xml:space="preserve"> one which is subject to a statutory prohibition, restriction or limitation;</w:t>
      </w:r>
      <w:r w:rsidR="006C1612">
        <w:rPr>
          <w:rStyle w:val="Hyperlink"/>
          <w:rFonts w:asciiTheme="minorHAnsi" w:hAnsiTheme="minorHAnsi" w:cstheme="minorHAnsi"/>
          <w:color w:val="auto"/>
          <w:u w:val="none"/>
        </w:rPr>
        <w:t xml:space="preserve"> Those councils that have adopted the General Power of Competence cannot use s.137.</w:t>
      </w:r>
    </w:p>
    <w:p w14:paraId="1978E5B4" w14:textId="66D54E5A" w:rsidR="00264D5A" w:rsidRPr="00264D5A" w:rsidRDefault="00264D5A" w:rsidP="00784CB0">
      <w:pPr>
        <w:pStyle w:val="ListParagraph"/>
        <w:numPr>
          <w:ilvl w:val="0"/>
          <w:numId w:val="2"/>
        </w:numPr>
        <w:spacing w:after="0"/>
        <w:jc w:val="both"/>
        <w:rPr>
          <w:rStyle w:val="Hyperlink"/>
          <w:rFonts w:asciiTheme="minorHAnsi" w:hAnsiTheme="minorHAnsi" w:cstheme="minorHAnsi"/>
          <w:b/>
          <w:bCs/>
          <w:color w:val="auto"/>
          <w:u w:val="none"/>
        </w:rPr>
      </w:pPr>
      <w:r w:rsidRPr="00264D5A">
        <w:rPr>
          <w:rStyle w:val="Hyperlink"/>
          <w:rFonts w:asciiTheme="minorHAnsi" w:hAnsiTheme="minorHAnsi" w:cstheme="minorHAnsi"/>
          <w:b/>
          <w:bCs/>
          <w:color w:val="auto"/>
          <w:u w:val="none"/>
        </w:rPr>
        <w:lastRenderedPageBreak/>
        <w:t>s.138B of the 1972 Act</w:t>
      </w:r>
      <w:r>
        <w:rPr>
          <w:rStyle w:val="Hyperlink"/>
          <w:rFonts w:asciiTheme="minorHAnsi" w:hAnsiTheme="minorHAnsi" w:cstheme="minorHAnsi"/>
          <w:b/>
          <w:bCs/>
          <w:color w:val="auto"/>
          <w:u w:val="none"/>
        </w:rPr>
        <w:t xml:space="preserve"> </w:t>
      </w:r>
      <w:r w:rsidRPr="00264D5A">
        <w:rPr>
          <w:rStyle w:val="Hyperlink"/>
          <w:rFonts w:asciiTheme="minorHAnsi" w:hAnsiTheme="minorHAnsi" w:cstheme="minorHAnsi"/>
          <w:color w:val="auto"/>
          <w:u w:val="none"/>
        </w:rPr>
        <w:t>empowers a parish council to support or facilitate a religious event.</w:t>
      </w:r>
    </w:p>
    <w:p w14:paraId="202BBAA0" w14:textId="41560CEC" w:rsidR="00264D5A" w:rsidRPr="00264D5A" w:rsidRDefault="00264D5A" w:rsidP="00784CB0">
      <w:pPr>
        <w:pStyle w:val="ListParagraph"/>
        <w:numPr>
          <w:ilvl w:val="0"/>
          <w:numId w:val="2"/>
        </w:numPr>
        <w:spacing w:after="0"/>
        <w:jc w:val="both"/>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S.1 of the Localism Act 2011 (The General Power of Competence)</w:t>
      </w:r>
      <w:r w:rsidR="006227C9">
        <w:rPr>
          <w:rStyle w:val="Hyperlink"/>
          <w:rFonts w:asciiTheme="minorHAnsi" w:hAnsiTheme="minorHAnsi" w:cstheme="minorHAnsi"/>
          <w:b/>
          <w:bCs/>
          <w:color w:val="auto"/>
          <w:u w:val="none"/>
        </w:rPr>
        <w:t xml:space="preserve"> </w:t>
      </w:r>
      <w:r w:rsidR="006227C9" w:rsidRPr="006227C9">
        <w:rPr>
          <w:rStyle w:val="Hyperlink"/>
          <w:rFonts w:asciiTheme="minorHAnsi" w:hAnsiTheme="minorHAnsi" w:cstheme="minorHAnsi"/>
          <w:color w:val="auto"/>
          <w:u w:val="none"/>
        </w:rPr>
        <w:t>enables</w:t>
      </w:r>
      <w:r w:rsidR="006227C9">
        <w:rPr>
          <w:rStyle w:val="Hyperlink"/>
          <w:rFonts w:asciiTheme="minorHAnsi" w:hAnsiTheme="minorHAnsi" w:cstheme="minorHAnsi"/>
          <w:b/>
          <w:bCs/>
          <w:color w:val="auto"/>
          <w:u w:val="none"/>
        </w:rPr>
        <w:t xml:space="preserve"> </w:t>
      </w:r>
      <w:r w:rsidR="006227C9" w:rsidRPr="006227C9">
        <w:rPr>
          <w:rStyle w:val="Hyperlink"/>
          <w:rFonts w:asciiTheme="minorHAnsi" w:hAnsiTheme="minorHAnsi" w:cstheme="minorHAnsi"/>
          <w:color w:val="auto"/>
          <w:u w:val="none"/>
        </w:rPr>
        <w:t>eligible councils that satisfy</w:t>
      </w:r>
      <w:r w:rsidR="006227C9">
        <w:rPr>
          <w:rStyle w:val="Hyperlink"/>
          <w:rFonts w:asciiTheme="minorHAnsi" w:hAnsiTheme="minorHAnsi" w:cstheme="minorHAnsi"/>
          <w:color w:val="auto"/>
          <w:u w:val="none"/>
        </w:rPr>
        <w:t xml:space="preserve"> the conditions to have more flexibility but does not allow an eligible council to  get around any statutory  prohibition, restriction and limitation which existed before the general power was introduced.</w:t>
      </w:r>
    </w:p>
    <w:p w14:paraId="31A8660B" w14:textId="7F139075" w:rsidR="007E2C67" w:rsidRDefault="007E2C67" w:rsidP="004E6971">
      <w:pPr>
        <w:spacing w:after="0"/>
        <w:jc w:val="both"/>
        <w:rPr>
          <w:rStyle w:val="Hyperlink"/>
          <w:rFonts w:asciiTheme="minorHAnsi" w:hAnsiTheme="minorHAnsi" w:cstheme="minorHAnsi"/>
          <w:color w:val="auto"/>
          <w:u w:val="none"/>
        </w:rPr>
      </w:pPr>
    </w:p>
    <w:p w14:paraId="2C99CAD9" w14:textId="4340FD48" w:rsidR="007E2C67" w:rsidRDefault="007E2C67" w:rsidP="004E6971">
      <w:pPr>
        <w:spacing w:after="0"/>
        <w:jc w:val="both"/>
        <w:rPr>
          <w:rStyle w:val="Hyperlink"/>
          <w:rFonts w:asciiTheme="minorHAnsi" w:hAnsiTheme="minorHAnsi" w:cstheme="minorHAnsi"/>
          <w:b/>
          <w:bCs/>
          <w:color w:val="auto"/>
          <w:u w:val="none"/>
        </w:rPr>
      </w:pPr>
      <w:r w:rsidRPr="007E2C67">
        <w:rPr>
          <w:rStyle w:val="Hyperlink"/>
          <w:rFonts w:asciiTheme="minorHAnsi" w:hAnsiTheme="minorHAnsi" w:cstheme="minorHAnsi"/>
          <w:b/>
          <w:bCs/>
          <w:color w:val="auto"/>
          <w:u w:val="none"/>
        </w:rPr>
        <w:t>Views of the experts:</w:t>
      </w:r>
    </w:p>
    <w:p w14:paraId="2F417BB0" w14:textId="77FC1EAE" w:rsidR="00E203D2" w:rsidRDefault="00400A24"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 </w:t>
      </w:r>
      <w:r w:rsidR="00E203D2" w:rsidRPr="00E203D2">
        <w:rPr>
          <w:rStyle w:val="Hyperlink"/>
          <w:rFonts w:asciiTheme="minorHAnsi" w:hAnsiTheme="minorHAnsi" w:cstheme="minorHAnsi"/>
          <w:color w:val="auto"/>
          <w:u w:val="none"/>
        </w:rPr>
        <w:t>In</w:t>
      </w:r>
      <w:r w:rsidR="00E203D2">
        <w:rPr>
          <w:rStyle w:val="Hyperlink"/>
          <w:rFonts w:asciiTheme="minorHAnsi" w:hAnsiTheme="minorHAnsi" w:cstheme="minorHAnsi"/>
          <w:color w:val="auto"/>
          <w:u w:val="none"/>
        </w:rPr>
        <w:t xml:space="preserve"> the </w:t>
      </w:r>
      <w:r w:rsidR="00E203D2" w:rsidRPr="00E203D2">
        <w:rPr>
          <w:rStyle w:val="Hyperlink"/>
          <w:rFonts w:asciiTheme="minorHAnsi" w:hAnsiTheme="minorHAnsi" w:cstheme="minorHAnsi"/>
          <w:b/>
          <w:bCs/>
          <w:color w:val="auto"/>
          <w:u w:val="none"/>
        </w:rPr>
        <w:t xml:space="preserve">Church of England Funding guide 13: Local Authorities and Funding </w:t>
      </w:r>
      <w:r w:rsidR="00D918D8">
        <w:rPr>
          <w:rStyle w:val="Hyperlink"/>
          <w:rFonts w:asciiTheme="minorHAnsi" w:hAnsiTheme="minorHAnsi" w:cstheme="minorHAnsi"/>
          <w:b/>
          <w:bCs/>
          <w:color w:val="auto"/>
          <w:u w:val="none"/>
        </w:rPr>
        <w:t>(</w:t>
      </w:r>
      <w:r w:rsidR="00E203D2" w:rsidRPr="00E203D2">
        <w:rPr>
          <w:rStyle w:val="Hyperlink"/>
          <w:rFonts w:asciiTheme="minorHAnsi" w:hAnsiTheme="minorHAnsi" w:cstheme="minorHAnsi"/>
          <w:b/>
          <w:bCs/>
          <w:color w:val="auto"/>
          <w:u w:val="none"/>
        </w:rPr>
        <w:t>July 2012)</w:t>
      </w:r>
      <w:r w:rsidR="00E203D2" w:rsidRPr="00E203D2">
        <w:rPr>
          <w:rStyle w:val="Hyperlink"/>
          <w:rFonts w:asciiTheme="minorHAnsi" w:hAnsiTheme="minorHAnsi" w:cstheme="minorHAnsi"/>
          <w:color w:val="auto"/>
          <w:u w:val="none"/>
        </w:rPr>
        <w:t xml:space="preserve"> produced by the National Stewardship Committee for the Church of England</w:t>
      </w:r>
      <w:r w:rsidR="00E203D2">
        <w:rPr>
          <w:rStyle w:val="Hyperlink"/>
          <w:rFonts w:asciiTheme="minorHAnsi" w:hAnsiTheme="minorHAnsi" w:cstheme="minorHAnsi"/>
          <w:color w:val="auto"/>
          <w:u w:val="none"/>
        </w:rPr>
        <w:t>, it is argued that Section 137 of the 1972 Act permits a local authority to contribute towards the maintenance, repair or adaptation of churches on the basis that expenditure would be in the interests of, and bring benefits to, some or all of the inhabitants of the area</w:t>
      </w:r>
      <w:r w:rsidR="00E863DA">
        <w:rPr>
          <w:rStyle w:val="Hyperlink"/>
          <w:rFonts w:asciiTheme="minorHAnsi" w:hAnsiTheme="minorHAnsi" w:cstheme="minorHAnsi"/>
          <w:color w:val="auto"/>
          <w:u w:val="none"/>
        </w:rPr>
        <w:t>, pointing out that that the church is often one of the chief local cultural assets and tourist attractions as well as a local community facility.</w:t>
      </w:r>
    </w:p>
    <w:p w14:paraId="1E31E629" w14:textId="77777777" w:rsidR="00DA6DFC" w:rsidRDefault="00DA6DFC" w:rsidP="004E6971">
      <w:pPr>
        <w:spacing w:after="0"/>
        <w:jc w:val="both"/>
        <w:rPr>
          <w:rStyle w:val="Hyperlink"/>
          <w:rFonts w:asciiTheme="minorHAnsi" w:hAnsiTheme="minorHAnsi" w:cstheme="minorHAnsi"/>
          <w:color w:val="auto"/>
          <w:u w:val="none"/>
        </w:rPr>
      </w:pPr>
    </w:p>
    <w:p w14:paraId="5F684843" w14:textId="7B576A90" w:rsidR="00D918D8" w:rsidRDefault="00400A24"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 </w:t>
      </w:r>
      <w:r w:rsidR="00D918D8">
        <w:rPr>
          <w:rStyle w:val="Hyperlink"/>
          <w:rFonts w:asciiTheme="minorHAnsi" w:hAnsiTheme="minorHAnsi" w:cstheme="minorHAnsi"/>
          <w:color w:val="auto"/>
          <w:u w:val="none"/>
        </w:rPr>
        <w:t xml:space="preserve">In </w:t>
      </w:r>
      <w:r w:rsidR="00D918D8" w:rsidRPr="00D918D8">
        <w:rPr>
          <w:rStyle w:val="Hyperlink"/>
          <w:rFonts w:asciiTheme="minorHAnsi" w:hAnsiTheme="minorHAnsi" w:cstheme="minorHAnsi"/>
          <w:b/>
          <w:bCs/>
          <w:color w:val="auto"/>
          <w:u w:val="none"/>
        </w:rPr>
        <w:t>The Taylor Review: Sustainability of English Churches and Cathedrals (December 2017)</w:t>
      </w:r>
      <w:r w:rsidR="00915F8A">
        <w:rPr>
          <w:rStyle w:val="Hyperlink"/>
          <w:rFonts w:asciiTheme="minorHAnsi" w:hAnsiTheme="minorHAnsi" w:cstheme="minorHAnsi"/>
          <w:b/>
          <w:bCs/>
          <w:color w:val="auto"/>
          <w:u w:val="none"/>
        </w:rPr>
        <w:t>,</w:t>
      </w:r>
      <w:r w:rsidR="00D918D8">
        <w:rPr>
          <w:rStyle w:val="Hyperlink"/>
          <w:rFonts w:asciiTheme="minorHAnsi" w:hAnsiTheme="minorHAnsi" w:cstheme="minorHAnsi"/>
          <w:b/>
          <w:bCs/>
          <w:color w:val="auto"/>
          <w:u w:val="none"/>
        </w:rPr>
        <w:t xml:space="preserve"> </w:t>
      </w:r>
      <w:r w:rsidR="00D918D8" w:rsidRPr="00D918D8">
        <w:rPr>
          <w:rStyle w:val="Hyperlink"/>
          <w:rFonts w:asciiTheme="minorHAnsi" w:hAnsiTheme="minorHAnsi" w:cstheme="minorHAnsi"/>
          <w:color w:val="auto"/>
          <w:u w:val="none"/>
        </w:rPr>
        <w:t>the author</w:t>
      </w:r>
      <w:r w:rsidR="00D918D8">
        <w:rPr>
          <w:rStyle w:val="Hyperlink"/>
          <w:rFonts w:asciiTheme="minorHAnsi" w:hAnsiTheme="minorHAnsi" w:cstheme="minorHAnsi"/>
          <w:color w:val="auto"/>
          <w:u w:val="none"/>
        </w:rPr>
        <w:t xml:space="preserve"> points out that the Parochial Church Council (PCC) is a body elected  from members of the electoral roll of a church and is responsible for the financial affairs of the church  and the maintenance of the fabric.</w:t>
      </w:r>
      <w:r w:rsidR="00493496">
        <w:rPr>
          <w:rStyle w:val="Hyperlink"/>
          <w:rFonts w:asciiTheme="minorHAnsi" w:hAnsiTheme="minorHAnsi" w:cstheme="minorHAnsi"/>
          <w:color w:val="auto"/>
          <w:u w:val="none"/>
        </w:rPr>
        <w:t xml:space="preserve"> Taylor recommends a more strategic approach</w:t>
      </w:r>
      <w:r>
        <w:rPr>
          <w:rStyle w:val="Hyperlink"/>
          <w:rFonts w:asciiTheme="minorHAnsi" w:hAnsiTheme="minorHAnsi" w:cstheme="minorHAnsi"/>
          <w:color w:val="auto"/>
          <w:u w:val="none"/>
        </w:rPr>
        <w:t xml:space="preserve"> to maintenance and repair by PCC’s having access to expertise at the different available levels of benefice, </w:t>
      </w:r>
      <w:r w:rsidR="00116683">
        <w:rPr>
          <w:rStyle w:val="Hyperlink"/>
          <w:rFonts w:asciiTheme="minorHAnsi" w:hAnsiTheme="minorHAnsi" w:cstheme="minorHAnsi"/>
          <w:color w:val="auto"/>
          <w:u w:val="none"/>
        </w:rPr>
        <w:t>deanery,</w:t>
      </w:r>
      <w:r>
        <w:rPr>
          <w:rStyle w:val="Hyperlink"/>
          <w:rFonts w:asciiTheme="minorHAnsi" w:hAnsiTheme="minorHAnsi" w:cstheme="minorHAnsi"/>
          <w:color w:val="auto"/>
          <w:u w:val="none"/>
        </w:rPr>
        <w:t xml:space="preserve"> and diocese. He also recommends that the law should be clarified</w:t>
      </w:r>
      <w:r w:rsidR="00A27D4B">
        <w:rPr>
          <w:rStyle w:val="Hyperlink"/>
          <w:rFonts w:asciiTheme="minorHAnsi" w:hAnsiTheme="minorHAnsi" w:cstheme="minorHAnsi"/>
          <w:color w:val="auto"/>
          <w:u w:val="none"/>
        </w:rPr>
        <w:t>, whether through legislative change or the issue of guidance, to establish that local authorities are not prohibited from awarding funding to churches.</w:t>
      </w:r>
    </w:p>
    <w:p w14:paraId="63A014F1" w14:textId="77777777" w:rsidR="00DA6DFC" w:rsidRPr="00E203D2" w:rsidRDefault="00DA6DFC" w:rsidP="004E6971">
      <w:pPr>
        <w:spacing w:after="0"/>
        <w:jc w:val="both"/>
        <w:rPr>
          <w:rStyle w:val="Hyperlink"/>
          <w:rFonts w:asciiTheme="minorHAnsi" w:hAnsiTheme="minorHAnsi" w:cstheme="minorHAnsi"/>
          <w:b/>
          <w:bCs/>
          <w:color w:val="auto"/>
          <w:u w:val="none"/>
        </w:rPr>
      </w:pPr>
    </w:p>
    <w:p w14:paraId="2564CFD2" w14:textId="0D57A3E6" w:rsidR="006C559B" w:rsidRDefault="00A27D4B" w:rsidP="004E6971">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 </w:t>
      </w:r>
      <w:r w:rsidR="006C559B">
        <w:rPr>
          <w:rStyle w:val="Hyperlink"/>
          <w:rFonts w:asciiTheme="minorHAnsi" w:hAnsiTheme="minorHAnsi" w:cstheme="minorHAnsi"/>
          <w:color w:val="auto"/>
          <w:u w:val="none"/>
        </w:rPr>
        <w:t xml:space="preserve">Legal advice provided by the </w:t>
      </w:r>
      <w:r w:rsidR="006C559B" w:rsidRPr="00A27D4B">
        <w:rPr>
          <w:rStyle w:val="Hyperlink"/>
          <w:rFonts w:asciiTheme="minorHAnsi" w:hAnsiTheme="minorHAnsi" w:cstheme="minorHAnsi"/>
          <w:b/>
          <w:bCs/>
          <w:color w:val="auto"/>
          <w:u w:val="none"/>
        </w:rPr>
        <w:t>National Association of Local Councils in 2018</w:t>
      </w:r>
      <w:r w:rsidR="006C559B" w:rsidRPr="006C559B">
        <w:rPr>
          <w:rStyle w:val="Hyperlink"/>
          <w:rFonts w:asciiTheme="minorHAnsi" w:hAnsiTheme="minorHAnsi" w:cstheme="minorHAnsi"/>
          <w:b/>
          <w:bCs/>
          <w:color w:val="auto"/>
          <w:u w:val="none"/>
        </w:rPr>
        <w:t xml:space="preserve"> (LO1-18 Financial Assistance to the Church)</w:t>
      </w:r>
      <w:r w:rsidR="006C559B">
        <w:rPr>
          <w:rStyle w:val="Hyperlink"/>
          <w:rFonts w:asciiTheme="minorHAnsi" w:hAnsiTheme="minorHAnsi" w:cstheme="minorHAnsi"/>
          <w:b/>
          <w:bCs/>
          <w:color w:val="auto"/>
          <w:u w:val="none"/>
        </w:rPr>
        <w:t xml:space="preserve"> </w:t>
      </w:r>
      <w:r w:rsidR="002F5910">
        <w:rPr>
          <w:rStyle w:val="Hyperlink"/>
          <w:rFonts w:asciiTheme="minorHAnsi" w:hAnsiTheme="minorHAnsi" w:cstheme="minorHAnsi"/>
          <w:color w:val="auto"/>
          <w:u w:val="none"/>
        </w:rPr>
        <w:t>is that the powers in the 1894 Act prohibits council’s involvement in property relating to the affairs of the church e.g. the maintenance or improvement of buildings or land or contributing to the costs.</w:t>
      </w:r>
    </w:p>
    <w:p w14:paraId="6160376E" w14:textId="5616B4E5" w:rsidR="007E2C67" w:rsidRDefault="007E2C67" w:rsidP="007E2C67">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NALC points out that subsequent legislation in the Local Government Act 1972 make provisions of a general nature and it is argued that such provisions conflict with the specific provision in the 1894 Act and in such circumstances the 1894 Act should prevail.</w:t>
      </w:r>
      <w:r w:rsidR="00761A0B">
        <w:rPr>
          <w:rStyle w:val="Hyperlink"/>
          <w:rFonts w:asciiTheme="minorHAnsi" w:hAnsiTheme="minorHAnsi" w:cstheme="minorHAnsi"/>
          <w:color w:val="auto"/>
          <w:u w:val="none"/>
        </w:rPr>
        <w:t xml:space="preserve"> NALC states that the Governments current view on the legal issues is that there is no need for any further legislation as they believe t</w:t>
      </w:r>
      <w:r w:rsidR="00A0631A">
        <w:rPr>
          <w:rStyle w:val="Hyperlink"/>
          <w:rFonts w:asciiTheme="minorHAnsi" w:hAnsiTheme="minorHAnsi" w:cstheme="minorHAnsi"/>
          <w:color w:val="auto"/>
          <w:u w:val="none"/>
        </w:rPr>
        <w:t>he 1894 Act restrictions do not override the provisions in later Acts of Parliament.</w:t>
      </w:r>
    </w:p>
    <w:p w14:paraId="68834399" w14:textId="0F503A7E" w:rsidR="007E2C67" w:rsidRDefault="007E2C67" w:rsidP="007E2C67">
      <w:pPr>
        <w:spacing w:after="0"/>
        <w:jc w:val="both"/>
        <w:rPr>
          <w:rStyle w:val="Hyperlink"/>
          <w:rFonts w:asciiTheme="minorHAnsi" w:hAnsiTheme="minorHAnsi" w:cstheme="minorHAnsi"/>
          <w:color w:val="auto"/>
          <w:u w:val="none"/>
        </w:rPr>
      </w:pPr>
      <w:r>
        <w:rPr>
          <w:rStyle w:val="Hyperlink"/>
          <w:rFonts w:asciiTheme="minorHAnsi" w:hAnsiTheme="minorHAnsi" w:cstheme="minorHAnsi"/>
          <w:color w:val="auto"/>
          <w:u w:val="none"/>
        </w:rPr>
        <w:t>In summarising NALC comments that a council that considers making a payment in these circumstances needs to consider whether it is prudent to take a course of action that it cannot be certain is legally valid.</w:t>
      </w:r>
    </w:p>
    <w:p w14:paraId="13E0BE8E" w14:textId="77777777" w:rsidR="00DA6DFC" w:rsidRDefault="00DA6DFC" w:rsidP="007E2C67">
      <w:pPr>
        <w:spacing w:after="0"/>
        <w:jc w:val="both"/>
        <w:rPr>
          <w:rStyle w:val="Hyperlink"/>
          <w:rFonts w:asciiTheme="minorHAnsi" w:hAnsiTheme="minorHAnsi" w:cstheme="minorHAnsi"/>
          <w:color w:val="auto"/>
          <w:u w:val="none"/>
        </w:rPr>
      </w:pPr>
    </w:p>
    <w:p w14:paraId="3BA70BF4" w14:textId="4AC0E869" w:rsidR="00872981" w:rsidRDefault="00F33DA4" w:rsidP="00872981">
      <w:pPr>
        <w:spacing w:after="0"/>
        <w:rPr>
          <w:rStyle w:val="Hyperlink"/>
          <w:rFonts w:asciiTheme="minorHAnsi" w:hAnsiTheme="minorHAnsi" w:cstheme="minorHAnsi"/>
          <w:color w:val="auto"/>
          <w:u w:val="none"/>
        </w:rPr>
      </w:pPr>
      <w:r w:rsidRPr="00872981">
        <w:rPr>
          <w:rStyle w:val="Hyperlink"/>
          <w:rFonts w:asciiTheme="minorHAnsi" w:hAnsiTheme="minorHAnsi" w:cstheme="minorHAnsi"/>
          <w:color w:val="auto"/>
          <w:u w:val="none"/>
        </w:rPr>
        <w:t xml:space="preserve">: More Locally the </w:t>
      </w:r>
      <w:r w:rsidRPr="00872981">
        <w:rPr>
          <w:rStyle w:val="Hyperlink"/>
          <w:rFonts w:asciiTheme="minorHAnsi" w:hAnsiTheme="minorHAnsi" w:cstheme="minorHAnsi"/>
          <w:b/>
          <w:bCs/>
          <w:color w:val="auto"/>
          <w:u w:val="none"/>
        </w:rPr>
        <w:t>Kent Association of Local Councils</w:t>
      </w:r>
      <w:r w:rsidRPr="00872981">
        <w:rPr>
          <w:rStyle w:val="Hyperlink"/>
          <w:rFonts w:asciiTheme="minorHAnsi" w:hAnsiTheme="minorHAnsi" w:cstheme="minorHAnsi"/>
          <w:color w:val="auto"/>
          <w:u w:val="none"/>
        </w:rPr>
        <w:t xml:space="preserve"> legal team suggest</w:t>
      </w:r>
      <w:r w:rsidR="00B11DDF" w:rsidRPr="00872981">
        <w:rPr>
          <w:rStyle w:val="Hyperlink"/>
          <w:rFonts w:asciiTheme="minorHAnsi" w:hAnsiTheme="minorHAnsi" w:cstheme="minorHAnsi"/>
          <w:color w:val="auto"/>
          <w:u w:val="none"/>
        </w:rPr>
        <w:t xml:space="preserve"> that NALC </w:t>
      </w:r>
      <w:r w:rsidRPr="00872981">
        <w:rPr>
          <w:rStyle w:val="Hyperlink"/>
          <w:rFonts w:asciiTheme="minorHAnsi" w:hAnsiTheme="minorHAnsi" w:cstheme="minorHAnsi"/>
          <w:color w:val="auto"/>
          <w:u w:val="none"/>
        </w:rPr>
        <w:t>is</w:t>
      </w:r>
      <w:r w:rsidR="00B11DDF" w:rsidRPr="00872981">
        <w:rPr>
          <w:rStyle w:val="Hyperlink"/>
          <w:rFonts w:asciiTheme="minorHAnsi" w:hAnsiTheme="minorHAnsi" w:cstheme="minorHAnsi"/>
          <w:color w:val="auto"/>
          <w:u w:val="none"/>
        </w:rPr>
        <w:t xml:space="preserve"> taking a very narrow and cautious view. The issue is raised periodically, the last time about ten years ago and there is no adverse case law to date. It is difficult to be definitive until it </w:t>
      </w:r>
      <w:r w:rsidR="00B11DDF" w:rsidRPr="00872981">
        <w:rPr>
          <w:rStyle w:val="Hyperlink"/>
          <w:rFonts w:asciiTheme="minorHAnsi" w:hAnsiTheme="minorHAnsi" w:cstheme="minorHAnsi"/>
          <w:i/>
          <w:iCs/>
          <w:color w:val="auto"/>
          <w:u w:val="none"/>
        </w:rPr>
        <w:t xml:space="preserve">is </w:t>
      </w:r>
      <w:r w:rsidR="00B11DDF" w:rsidRPr="00872981">
        <w:rPr>
          <w:rStyle w:val="Hyperlink"/>
          <w:rFonts w:asciiTheme="minorHAnsi" w:hAnsiTheme="minorHAnsi" w:cstheme="minorHAnsi"/>
          <w:color w:val="auto"/>
          <w:u w:val="none"/>
        </w:rPr>
        <w:t>challenged.</w:t>
      </w:r>
      <w:r w:rsidR="00872981">
        <w:rPr>
          <w:rStyle w:val="Hyperlink"/>
          <w:rFonts w:asciiTheme="minorHAnsi" w:hAnsiTheme="minorHAnsi" w:cstheme="minorHAnsi"/>
          <w:color w:val="auto"/>
          <w:u w:val="none"/>
        </w:rPr>
        <w:t xml:space="preserve"> Advice is that the contribution of a </w:t>
      </w:r>
      <w:r w:rsidR="00872981" w:rsidRPr="00915F8A">
        <w:rPr>
          <w:rStyle w:val="Hyperlink"/>
          <w:rFonts w:asciiTheme="minorHAnsi" w:hAnsiTheme="minorHAnsi" w:cstheme="minorHAnsi"/>
          <w:i/>
          <w:iCs/>
          <w:color w:val="auto"/>
          <w:u w:val="none"/>
        </w:rPr>
        <w:t>revenue</w:t>
      </w:r>
      <w:r w:rsidR="00872981">
        <w:rPr>
          <w:rStyle w:val="Hyperlink"/>
          <w:rFonts w:asciiTheme="minorHAnsi" w:hAnsiTheme="minorHAnsi" w:cstheme="minorHAnsi"/>
          <w:color w:val="auto"/>
          <w:u w:val="none"/>
        </w:rPr>
        <w:t xml:space="preserve"> grant each year can give rise to a subsidiary challenge as the parish council has no powers </w:t>
      </w:r>
      <w:r w:rsidR="00B233EF">
        <w:rPr>
          <w:rStyle w:val="Hyperlink"/>
          <w:rFonts w:asciiTheme="minorHAnsi" w:hAnsiTheme="minorHAnsi" w:cstheme="minorHAnsi"/>
          <w:color w:val="auto"/>
          <w:u w:val="none"/>
        </w:rPr>
        <w:t xml:space="preserve">to </w:t>
      </w:r>
      <w:r w:rsidR="00872981">
        <w:rPr>
          <w:rStyle w:val="Hyperlink"/>
          <w:rFonts w:asciiTheme="minorHAnsi" w:hAnsiTheme="minorHAnsi" w:cstheme="minorHAnsi"/>
          <w:color w:val="auto"/>
          <w:u w:val="none"/>
        </w:rPr>
        <w:t>do so under 1894 or 1972 legislation.</w:t>
      </w:r>
    </w:p>
    <w:p w14:paraId="756ED5CE" w14:textId="77777777" w:rsidR="00D449CE" w:rsidRDefault="00D449CE" w:rsidP="00872981">
      <w:pPr>
        <w:spacing w:after="0"/>
        <w:rPr>
          <w:rStyle w:val="Hyperlink"/>
          <w:rFonts w:asciiTheme="minorHAnsi" w:hAnsiTheme="minorHAnsi" w:cstheme="minorHAnsi"/>
          <w:color w:val="auto"/>
          <w:u w:val="none"/>
        </w:rPr>
      </w:pPr>
    </w:p>
    <w:p w14:paraId="0EC5AD11" w14:textId="4CFDD730" w:rsidR="00440B35" w:rsidRPr="008227DA" w:rsidRDefault="00440B35" w:rsidP="00872981">
      <w:pPr>
        <w:spacing w:after="0"/>
        <w:rPr>
          <w:rStyle w:val="Hyperlink"/>
          <w:rFonts w:asciiTheme="minorHAnsi" w:hAnsiTheme="minorHAnsi" w:cstheme="minorHAnsi"/>
          <w:i/>
          <w:iCs/>
          <w:color w:val="auto"/>
          <w:u w:val="none"/>
        </w:rPr>
      </w:pPr>
      <w:r>
        <w:rPr>
          <w:rStyle w:val="Hyperlink"/>
          <w:rFonts w:asciiTheme="minorHAnsi" w:hAnsiTheme="minorHAnsi" w:cstheme="minorHAnsi"/>
          <w:color w:val="auto"/>
          <w:u w:val="none"/>
        </w:rPr>
        <w:t xml:space="preserve">: </w:t>
      </w:r>
      <w:r w:rsidR="00761A0B">
        <w:rPr>
          <w:rStyle w:val="Hyperlink"/>
          <w:rFonts w:asciiTheme="minorHAnsi" w:hAnsiTheme="minorHAnsi" w:cstheme="minorHAnsi"/>
          <w:color w:val="auto"/>
          <w:u w:val="none"/>
        </w:rPr>
        <w:t>Waltham Parish Council insurers</w:t>
      </w:r>
      <w:r>
        <w:rPr>
          <w:rStyle w:val="Hyperlink"/>
          <w:rFonts w:asciiTheme="minorHAnsi" w:hAnsiTheme="minorHAnsi" w:cstheme="minorHAnsi"/>
          <w:color w:val="auto"/>
          <w:u w:val="none"/>
        </w:rPr>
        <w:t xml:space="preserve"> </w:t>
      </w:r>
      <w:r w:rsidRPr="00C72CE4">
        <w:rPr>
          <w:rStyle w:val="Hyperlink"/>
          <w:rFonts w:asciiTheme="minorHAnsi" w:hAnsiTheme="minorHAnsi" w:cstheme="minorHAnsi"/>
          <w:b/>
          <w:bCs/>
          <w:color w:val="auto"/>
          <w:u w:val="none"/>
        </w:rPr>
        <w:t>Came and Company</w:t>
      </w:r>
      <w:r>
        <w:rPr>
          <w:rStyle w:val="Hyperlink"/>
          <w:rFonts w:asciiTheme="minorHAnsi" w:hAnsiTheme="minorHAnsi" w:cstheme="minorHAnsi"/>
          <w:color w:val="auto"/>
          <w:u w:val="none"/>
        </w:rPr>
        <w:t xml:space="preserve"> have helped to clarify the </w:t>
      </w:r>
      <w:r w:rsidR="00A069C1">
        <w:rPr>
          <w:rStyle w:val="Hyperlink"/>
          <w:rFonts w:asciiTheme="minorHAnsi" w:hAnsiTheme="minorHAnsi" w:cstheme="minorHAnsi"/>
          <w:color w:val="auto"/>
          <w:u w:val="none"/>
        </w:rPr>
        <w:t xml:space="preserve">insurance </w:t>
      </w:r>
      <w:r>
        <w:rPr>
          <w:rStyle w:val="Hyperlink"/>
          <w:rFonts w:asciiTheme="minorHAnsi" w:hAnsiTheme="minorHAnsi" w:cstheme="minorHAnsi"/>
          <w:color w:val="auto"/>
          <w:u w:val="none"/>
        </w:rPr>
        <w:t xml:space="preserve">position through their Commercial Disputes Team. </w:t>
      </w:r>
      <w:r w:rsidR="00A069C1">
        <w:rPr>
          <w:rStyle w:val="Hyperlink"/>
          <w:rFonts w:asciiTheme="minorHAnsi" w:hAnsiTheme="minorHAnsi" w:cstheme="minorHAnsi"/>
          <w:color w:val="auto"/>
          <w:u w:val="none"/>
        </w:rPr>
        <w:t>Guidance is that a</w:t>
      </w:r>
      <w:r>
        <w:rPr>
          <w:rStyle w:val="Hyperlink"/>
          <w:rFonts w:asciiTheme="minorHAnsi" w:hAnsiTheme="minorHAnsi" w:cstheme="minorHAnsi"/>
          <w:color w:val="auto"/>
          <w:u w:val="none"/>
        </w:rPr>
        <w:t xml:space="preserve">ny potential claim against WPC or individual Councillors could perhaps be made on the basis of breach of statute or breach of </w:t>
      </w:r>
      <w:r w:rsidR="00761A0B">
        <w:rPr>
          <w:rStyle w:val="Hyperlink"/>
          <w:rFonts w:asciiTheme="minorHAnsi" w:hAnsiTheme="minorHAnsi" w:cstheme="minorHAnsi"/>
          <w:color w:val="auto"/>
          <w:u w:val="none"/>
        </w:rPr>
        <w:t>duties,</w:t>
      </w:r>
      <w:r w:rsidR="008227DA">
        <w:rPr>
          <w:rStyle w:val="Hyperlink"/>
          <w:rFonts w:asciiTheme="minorHAnsi" w:hAnsiTheme="minorHAnsi" w:cstheme="minorHAnsi"/>
          <w:color w:val="auto"/>
          <w:u w:val="none"/>
        </w:rPr>
        <w:t xml:space="preserve"> acting outside of authority or misuse of public funds. The team are limited in terms of reassurance which might be provided as it would ultimately depend upon how such allegations were pleaded and who makes them. However</w:t>
      </w:r>
      <w:r w:rsidR="00A069C1">
        <w:rPr>
          <w:rStyle w:val="Hyperlink"/>
          <w:rFonts w:asciiTheme="minorHAnsi" w:hAnsiTheme="minorHAnsi" w:cstheme="minorHAnsi"/>
          <w:color w:val="auto"/>
          <w:u w:val="none"/>
        </w:rPr>
        <w:t>,</w:t>
      </w:r>
      <w:r w:rsidR="008227DA">
        <w:rPr>
          <w:rStyle w:val="Hyperlink"/>
          <w:rFonts w:asciiTheme="minorHAnsi" w:hAnsiTheme="minorHAnsi" w:cstheme="minorHAnsi"/>
          <w:color w:val="auto"/>
          <w:u w:val="none"/>
        </w:rPr>
        <w:t xml:space="preserve"> cover in the schedule such as </w:t>
      </w:r>
      <w:r w:rsidR="008227DA">
        <w:rPr>
          <w:rStyle w:val="Hyperlink"/>
          <w:rFonts w:asciiTheme="minorHAnsi" w:hAnsiTheme="minorHAnsi" w:cstheme="minorHAnsi"/>
          <w:i/>
          <w:iCs/>
          <w:color w:val="auto"/>
          <w:u w:val="none"/>
        </w:rPr>
        <w:t xml:space="preserve">Other Wrongful Acts </w:t>
      </w:r>
      <w:r w:rsidR="00761A0B">
        <w:rPr>
          <w:rStyle w:val="Hyperlink"/>
          <w:rFonts w:asciiTheme="minorHAnsi" w:hAnsiTheme="minorHAnsi" w:cstheme="minorHAnsi"/>
          <w:i/>
          <w:iCs/>
          <w:color w:val="auto"/>
          <w:u w:val="none"/>
        </w:rPr>
        <w:t>Cover and</w:t>
      </w:r>
      <w:r w:rsidR="008227DA">
        <w:rPr>
          <w:rStyle w:val="Hyperlink"/>
          <w:rFonts w:asciiTheme="minorHAnsi" w:hAnsiTheme="minorHAnsi" w:cstheme="minorHAnsi"/>
          <w:color w:val="auto"/>
          <w:u w:val="none"/>
        </w:rPr>
        <w:t xml:space="preserve"> </w:t>
      </w:r>
      <w:r w:rsidR="008227DA">
        <w:rPr>
          <w:rStyle w:val="Hyperlink"/>
          <w:rFonts w:asciiTheme="minorHAnsi" w:hAnsiTheme="minorHAnsi" w:cstheme="minorHAnsi"/>
          <w:i/>
          <w:iCs/>
          <w:color w:val="auto"/>
          <w:u w:val="none"/>
        </w:rPr>
        <w:t xml:space="preserve">Claims against an Insured Person Cover </w:t>
      </w:r>
      <w:r w:rsidR="008227DA" w:rsidRPr="008227DA">
        <w:rPr>
          <w:rStyle w:val="Hyperlink"/>
          <w:rFonts w:asciiTheme="minorHAnsi" w:hAnsiTheme="minorHAnsi" w:cstheme="minorHAnsi"/>
          <w:color w:val="auto"/>
          <w:u w:val="none"/>
        </w:rPr>
        <w:t>are those which</w:t>
      </w:r>
      <w:r w:rsidR="008227DA">
        <w:rPr>
          <w:rStyle w:val="Hyperlink"/>
          <w:rFonts w:asciiTheme="minorHAnsi" w:hAnsiTheme="minorHAnsi" w:cstheme="minorHAnsi"/>
          <w:color w:val="auto"/>
          <w:u w:val="none"/>
        </w:rPr>
        <w:t xml:space="preserve"> the team would expect to consider in </w:t>
      </w:r>
      <w:r w:rsidR="008227DA">
        <w:rPr>
          <w:rStyle w:val="Hyperlink"/>
          <w:rFonts w:asciiTheme="minorHAnsi" w:hAnsiTheme="minorHAnsi" w:cstheme="minorHAnsi"/>
          <w:color w:val="auto"/>
          <w:u w:val="none"/>
        </w:rPr>
        <w:lastRenderedPageBreak/>
        <w:t>circumstances</w:t>
      </w:r>
      <w:r w:rsidR="00A069C1">
        <w:rPr>
          <w:rStyle w:val="Hyperlink"/>
          <w:rFonts w:asciiTheme="minorHAnsi" w:hAnsiTheme="minorHAnsi" w:cstheme="minorHAnsi"/>
          <w:color w:val="auto"/>
          <w:u w:val="none"/>
        </w:rPr>
        <w:t xml:space="preserve"> where a third party sought to </w:t>
      </w:r>
      <w:r w:rsidR="00A069C1" w:rsidRPr="00D2134D">
        <w:rPr>
          <w:rStyle w:val="Hyperlink"/>
          <w:rFonts w:asciiTheme="minorHAnsi" w:hAnsiTheme="minorHAnsi" w:cstheme="minorHAnsi"/>
          <w:color w:val="auto"/>
          <w:u w:val="none"/>
        </w:rPr>
        <w:t>make such allegations.</w:t>
      </w:r>
      <w:r w:rsidR="00D2134D">
        <w:rPr>
          <w:rStyle w:val="Hyperlink"/>
          <w:rFonts w:asciiTheme="minorHAnsi" w:hAnsiTheme="minorHAnsi" w:cstheme="minorHAnsi"/>
          <w:color w:val="auto"/>
          <w:u w:val="none"/>
        </w:rPr>
        <w:t xml:space="preserve"> If such allegations were made WPC is encouraged to notify the team who would then assess whether there might be cover in place to assist in defending the Councils position.</w:t>
      </w:r>
    </w:p>
    <w:p w14:paraId="37EDEA4B" w14:textId="77777777" w:rsidR="00C72D09" w:rsidRDefault="00C72D09" w:rsidP="003707D1">
      <w:pPr>
        <w:spacing w:after="0"/>
        <w:rPr>
          <w:rStyle w:val="Hyperlink"/>
          <w:rFonts w:asciiTheme="minorHAnsi" w:hAnsiTheme="minorHAnsi" w:cstheme="minorHAnsi"/>
          <w:b/>
          <w:bCs/>
          <w:color w:val="auto"/>
          <w:u w:val="none"/>
        </w:rPr>
      </w:pPr>
    </w:p>
    <w:p w14:paraId="365873C7" w14:textId="01127973" w:rsidR="003707D1" w:rsidRDefault="00CA6D78" w:rsidP="00482513">
      <w:pPr>
        <w:spacing w:after="0"/>
        <w:rPr>
          <w:rStyle w:val="Hyperlink"/>
          <w:rFonts w:asciiTheme="minorHAnsi" w:hAnsiTheme="minorHAnsi" w:cstheme="minorHAnsi"/>
          <w:b/>
          <w:bCs/>
          <w:color w:val="auto"/>
          <w:u w:val="none"/>
        </w:rPr>
      </w:pPr>
      <w:r>
        <w:rPr>
          <w:rStyle w:val="Hyperlink"/>
          <w:rFonts w:asciiTheme="minorHAnsi" w:hAnsiTheme="minorHAnsi" w:cstheme="minorHAnsi"/>
          <w:b/>
          <w:bCs/>
          <w:color w:val="auto"/>
          <w:u w:val="none"/>
        </w:rPr>
        <w:t xml:space="preserve">Points </w:t>
      </w:r>
      <w:r w:rsidR="00D2134D">
        <w:rPr>
          <w:rStyle w:val="Hyperlink"/>
          <w:rFonts w:asciiTheme="minorHAnsi" w:hAnsiTheme="minorHAnsi" w:cstheme="minorHAnsi"/>
          <w:b/>
          <w:bCs/>
          <w:color w:val="auto"/>
          <w:u w:val="none"/>
        </w:rPr>
        <w:t>for Member</w:t>
      </w:r>
      <w:r>
        <w:rPr>
          <w:rStyle w:val="Hyperlink"/>
          <w:rFonts w:asciiTheme="minorHAnsi" w:hAnsiTheme="minorHAnsi" w:cstheme="minorHAnsi"/>
          <w:b/>
          <w:bCs/>
          <w:color w:val="auto"/>
          <w:u w:val="none"/>
        </w:rPr>
        <w:t xml:space="preserve"> consider</w:t>
      </w:r>
      <w:r w:rsidR="00D2134D">
        <w:rPr>
          <w:rStyle w:val="Hyperlink"/>
          <w:rFonts w:asciiTheme="minorHAnsi" w:hAnsiTheme="minorHAnsi" w:cstheme="minorHAnsi"/>
          <w:b/>
          <w:bCs/>
          <w:color w:val="auto"/>
          <w:u w:val="none"/>
        </w:rPr>
        <w:t>ation</w:t>
      </w:r>
      <w:r>
        <w:rPr>
          <w:rStyle w:val="Hyperlink"/>
          <w:rFonts w:asciiTheme="minorHAnsi" w:hAnsiTheme="minorHAnsi" w:cstheme="minorHAnsi"/>
          <w:b/>
          <w:bCs/>
          <w:color w:val="auto"/>
          <w:u w:val="none"/>
        </w:rPr>
        <w:t>:</w:t>
      </w:r>
    </w:p>
    <w:p w14:paraId="25AA8FAF" w14:textId="43A018CE" w:rsidR="00807B0B" w:rsidRDefault="00807B0B" w:rsidP="00D2134D">
      <w:pPr>
        <w:pStyle w:val="ListParagraph"/>
        <w:numPr>
          <w:ilvl w:val="0"/>
          <w:numId w:val="3"/>
        </w:numPr>
        <w:spacing w:after="0"/>
        <w:rPr>
          <w:rStyle w:val="Hyperlink"/>
          <w:rFonts w:asciiTheme="minorHAnsi" w:hAnsiTheme="minorHAnsi" w:cstheme="minorHAnsi"/>
          <w:color w:val="auto"/>
          <w:u w:val="none"/>
        </w:rPr>
      </w:pPr>
      <w:r w:rsidRPr="00D2134D">
        <w:rPr>
          <w:rStyle w:val="Hyperlink"/>
          <w:rFonts w:asciiTheme="minorHAnsi" w:hAnsiTheme="minorHAnsi" w:cstheme="minorHAnsi"/>
          <w:color w:val="auto"/>
          <w:u w:val="none"/>
        </w:rPr>
        <w:t xml:space="preserve">There is clear evidence to suggest that use of powers under s.214 of LGA 1972 is </w:t>
      </w:r>
      <w:r w:rsidRPr="00D2134D">
        <w:rPr>
          <w:rStyle w:val="Hyperlink"/>
          <w:rFonts w:asciiTheme="minorHAnsi" w:hAnsiTheme="minorHAnsi" w:cstheme="minorHAnsi"/>
          <w:i/>
          <w:iCs/>
          <w:color w:val="auto"/>
          <w:u w:val="none"/>
        </w:rPr>
        <w:t xml:space="preserve">ultra-vires </w:t>
      </w:r>
      <w:r w:rsidRPr="00D2134D">
        <w:rPr>
          <w:rStyle w:val="Hyperlink"/>
          <w:rFonts w:asciiTheme="minorHAnsi" w:hAnsiTheme="minorHAnsi" w:cstheme="minorHAnsi"/>
          <w:color w:val="auto"/>
          <w:u w:val="none"/>
        </w:rPr>
        <w:t>and should not be continued.</w:t>
      </w:r>
    </w:p>
    <w:p w14:paraId="5197582B" w14:textId="501FDCFF" w:rsidR="00807B0B" w:rsidRDefault="00807B0B" w:rsidP="00482513">
      <w:pPr>
        <w:pStyle w:val="ListParagraph"/>
        <w:numPr>
          <w:ilvl w:val="0"/>
          <w:numId w:val="3"/>
        </w:numPr>
        <w:spacing w:after="0"/>
        <w:rPr>
          <w:rStyle w:val="Hyperlink"/>
          <w:rFonts w:asciiTheme="minorHAnsi" w:hAnsiTheme="minorHAnsi" w:cstheme="minorHAnsi"/>
          <w:color w:val="auto"/>
          <w:u w:val="none"/>
        </w:rPr>
      </w:pPr>
      <w:r w:rsidRPr="00D2134D">
        <w:rPr>
          <w:rStyle w:val="Hyperlink"/>
          <w:rFonts w:asciiTheme="minorHAnsi" w:hAnsiTheme="minorHAnsi" w:cstheme="minorHAnsi"/>
          <w:color w:val="auto"/>
          <w:u w:val="none"/>
        </w:rPr>
        <w:t>WPC has adopted the General Power of Comp</w:t>
      </w:r>
      <w:r w:rsidR="005458CB" w:rsidRPr="00D2134D">
        <w:rPr>
          <w:rStyle w:val="Hyperlink"/>
          <w:rFonts w:asciiTheme="minorHAnsi" w:hAnsiTheme="minorHAnsi" w:cstheme="minorHAnsi"/>
          <w:color w:val="auto"/>
          <w:u w:val="none"/>
        </w:rPr>
        <w:t>e</w:t>
      </w:r>
      <w:r w:rsidRPr="00D2134D">
        <w:rPr>
          <w:rStyle w:val="Hyperlink"/>
          <w:rFonts w:asciiTheme="minorHAnsi" w:hAnsiTheme="minorHAnsi" w:cstheme="minorHAnsi"/>
          <w:color w:val="auto"/>
          <w:u w:val="none"/>
        </w:rPr>
        <w:t>tence, and Members may wish to use that power</w:t>
      </w:r>
      <w:r w:rsidR="005458CB" w:rsidRPr="00D2134D">
        <w:rPr>
          <w:rStyle w:val="Hyperlink"/>
          <w:rFonts w:asciiTheme="minorHAnsi" w:hAnsiTheme="minorHAnsi" w:cstheme="minorHAnsi"/>
          <w:color w:val="auto"/>
          <w:u w:val="none"/>
        </w:rPr>
        <w:t xml:space="preserve"> to establish a written policy agreement in order to contribute </w:t>
      </w:r>
      <w:r w:rsidR="00023F0C" w:rsidRPr="00D2134D">
        <w:rPr>
          <w:rStyle w:val="Hyperlink"/>
          <w:rFonts w:asciiTheme="minorHAnsi" w:hAnsiTheme="minorHAnsi" w:cstheme="minorHAnsi"/>
          <w:color w:val="auto"/>
          <w:u w:val="none"/>
        </w:rPr>
        <w:t>a</w:t>
      </w:r>
      <w:r w:rsidR="005458CB" w:rsidRPr="00D2134D">
        <w:rPr>
          <w:rStyle w:val="Hyperlink"/>
          <w:rFonts w:asciiTheme="minorHAnsi" w:hAnsiTheme="minorHAnsi" w:cstheme="minorHAnsi"/>
          <w:color w:val="auto"/>
          <w:u w:val="none"/>
        </w:rPr>
        <w:t xml:space="preserve"> modest </w:t>
      </w:r>
      <w:r w:rsidR="00023F0C" w:rsidRPr="00D2134D">
        <w:rPr>
          <w:rStyle w:val="Hyperlink"/>
          <w:rFonts w:asciiTheme="minorHAnsi" w:hAnsiTheme="minorHAnsi" w:cstheme="minorHAnsi"/>
          <w:color w:val="auto"/>
          <w:u w:val="none"/>
        </w:rPr>
        <w:t xml:space="preserve">Capital </w:t>
      </w:r>
      <w:r w:rsidR="005458CB" w:rsidRPr="00D2134D">
        <w:rPr>
          <w:rStyle w:val="Hyperlink"/>
          <w:rFonts w:asciiTheme="minorHAnsi" w:hAnsiTheme="minorHAnsi" w:cstheme="minorHAnsi"/>
          <w:color w:val="auto"/>
          <w:u w:val="none"/>
        </w:rPr>
        <w:t>sum</w:t>
      </w:r>
      <w:r w:rsidR="00575428" w:rsidRPr="00D2134D">
        <w:rPr>
          <w:rStyle w:val="Hyperlink"/>
          <w:rFonts w:asciiTheme="minorHAnsi" w:hAnsiTheme="minorHAnsi" w:cstheme="minorHAnsi"/>
          <w:color w:val="auto"/>
          <w:u w:val="none"/>
        </w:rPr>
        <w:t xml:space="preserve"> (not revenue) </w:t>
      </w:r>
      <w:r w:rsidR="005458CB" w:rsidRPr="00D2134D">
        <w:rPr>
          <w:rStyle w:val="Hyperlink"/>
          <w:rFonts w:asciiTheme="minorHAnsi" w:hAnsiTheme="minorHAnsi" w:cstheme="minorHAnsi"/>
          <w:color w:val="auto"/>
          <w:u w:val="none"/>
        </w:rPr>
        <w:t>towards churchyard maintenance.</w:t>
      </w:r>
      <w:r w:rsidR="00023F0C" w:rsidRPr="00D2134D">
        <w:rPr>
          <w:rStyle w:val="Hyperlink"/>
          <w:rFonts w:asciiTheme="minorHAnsi" w:hAnsiTheme="minorHAnsi" w:cstheme="minorHAnsi"/>
          <w:color w:val="auto"/>
          <w:u w:val="none"/>
        </w:rPr>
        <w:t xml:space="preserve"> </w:t>
      </w:r>
      <w:r w:rsidR="00915F8A" w:rsidRPr="00D2134D">
        <w:rPr>
          <w:rStyle w:val="Hyperlink"/>
          <w:rFonts w:asciiTheme="minorHAnsi" w:hAnsiTheme="minorHAnsi" w:cstheme="minorHAnsi"/>
          <w:color w:val="auto"/>
          <w:u w:val="none"/>
        </w:rPr>
        <w:t xml:space="preserve">Justification for the Policy would be on the basis that </w:t>
      </w:r>
      <w:r w:rsidR="00D2134D">
        <w:rPr>
          <w:rStyle w:val="Hyperlink"/>
          <w:rFonts w:asciiTheme="minorHAnsi" w:hAnsiTheme="minorHAnsi" w:cstheme="minorHAnsi"/>
          <w:color w:val="auto"/>
          <w:u w:val="none"/>
        </w:rPr>
        <w:t xml:space="preserve">such </w:t>
      </w:r>
      <w:r w:rsidR="00915F8A" w:rsidRPr="00D2134D">
        <w:rPr>
          <w:rStyle w:val="Hyperlink"/>
          <w:rFonts w:asciiTheme="minorHAnsi" w:hAnsiTheme="minorHAnsi" w:cstheme="minorHAnsi"/>
          <w:color w:val="auto"/>
          <w:u w:val="none"/>
        </w:rPr>
        <w:t xml:space="preserve">expenditure would be in the interests of, and bring benefits to, some or all of the inhabitants of the area,  </w:t>
      </w:r>
      <w:r w:rsidR="00023F0C" w:rsidRPr="00D2134D">
        <w:rPr>
          <w:rStyle w:val="Hyperlink"/>
          <w:rFonts w:asciiTheme="minorHAnsi" w:hAnsiTheme="minorHAnsi" w:cstheme="minorHAnsi"/>
          <w:color w:val="auto"/>
          <w:u w:val="none"/>
        </w:rPr>
        <w:t>A typical example is the need to repair</w:t>
      </w:r>
      <w:r w:rsidR="005458CB" w:rsidRPr="00D2134D">
        <w:rPr>
          <w:rStyle w:val="Hyperlink"/>
          <w:rFonts w:asciiTheme="minorHAnsi" w:hAnsiTheme="minorHAnsi" w:cstheme="minorHAnsi"/>
          <w:color w:val="auto"/>
          <w:u w:val="none"/>
        </w:rPr>
        <w:t xml:space="preserve"> </w:t>
      </w:r>
      <w:r w:rsidR="00023F0C" w:rsidRPr="00D2134D">
        <w:rPr>
          <w:rStyle w:val="Hyperlink"/>
          <w:rFonts w:asciiTheme="minorHAnsi" w:hAnsiTheme="minorHAnsi" w:cstheme="minorHAnsi"/>
          <w:color w:val="auto"/>
          <w:u w:val="none"/>
        </w:rPr>
        <w:t xml:space="preserve">the stone walls around the cemetery. </w:t>
      </w:r>
      <w:r w:rsidR="005458CB" w:rsidRPr="00D2134D">
        <w:rPr>
          <w:rStyle w:val="Hyperlink"/>
          <w:rFonts w:asciiTheme="minorHAnsi" w:hAnsiTheme="minorHAnsi" w:cstheme="minorHAnsi"/>
          <w:color w:val="auto"/>
          <w:u w:val="none"/>
        </w:rPr>
        <w:t>That policy should ideally arise</w:t>
      </w:r>
      <w:r w:rsidR="00023F0C" w:rsidRPr="00D2134D">
        <w:rPr>
          <w:rStyle w:val="Hyperlink"/>
          <w:rFonts w:asciiTheme="minorHAnsi" w:hAnsiTheme="minorHAnsi" w:cstheme="minorHAnsi"/>
          <w:color w:val="auto"/>
          <w:u w:val="none"/>
        </w:rPr>
        <w:t xml:space="preserve"> after</w:t>
      </w:r>
      <w:r w:rsidR="005458CB" w:rsidRPr="00D2134D">
        <w:rPr>
          <w:rStyle w:val="Hyperlink"/>
          <w:rFonts w:asciiTheme="minorHAnsi" w:hAnsiTheme="minorHAnsi" w:cstheme="minorHAnsi"/>
          <w:color w:val="auto"/>
          <w:u w:val="none"/>
        </w:rPr>
        <w:t xml:space="preserve"> consultation with parishioners to cover the denominational issues that are sometimes raised and can be met by treating everyone at common law i.e. reasonably and fairly</w:t>
      </w:r>
      <w:r w:rsidR="00AA34A5" w:rsidRPr="00D2134D">
        <w:rPr>
          <w:rStyle w:val="Hyperlink"/>
          <w:rFonts w:asciiTheme="minorHAnsi" w:hAnsiTheme="minorHAnsi" w:cstheme="minorHAnsi"/>
          <w:color w:val="auto"/>
          <w:u w:val="none"/>
        </w:rPr>
        <w:t>, thus mitigating against likely challenges.</w:t>
      </w:r>
    </w:p>
    <w:p w14:paraId="716E06AA" w14:textId="1A849901" w:rsidR="00D2134D" w:rsidRDefault="00D13E95" w:rsidP="00482513">
      <w:pPr>
        <w:pStyle w:val="ListParagraph"/>
        <w:numPr>
          <w:ilvl w:val="0"/>
          <w:numId w:val="3"/>
        </w:numPr>
        <w:spacing w:after="0"/>
        <w:rPr>
          <w:rStyle w:val="Hyperlink"/>
          <w:rFonts w:asciiTheme="minorHAnsi" w:hAnsiTheme="minorHAnsi" w:cstheme="minorHAnsi"/>
          <w:color w:val="auto"/>
          <w:u w:val="none"/>
        </w:rPr>
      </w:pPr>
      <w:r>
        <w:rPr>
          <w:rStyle w:val="Hyperlink"/>
          <w:rFonts w:asciiTheme="minorHAnsi" w:hAnsiTheme="minorHAnsi" w:cstheme="minorHAnsi"/>
          <w:color w:val="auto"/>
          <w:u w:val="none"/>
        </w:rPr>
        <w:t>There appears to be no automatic insurance cover, with any allegation being assessed individually</w:t>
      </w:r>
      <w:r w:rsidR="001675FE">
        <w:rPr>
          <w:rStyle w:val="Hyperlink"/>
          <w:rFonts w:asciiTheme="minorHAnsi" w:hAnsiTheme="minorHAnsi" w:cstheme="minorHAnsi"/>
          <w:color w:val="auto"/>
          <w:u w:val="none"/>
        </w:rPr>
        <w:t>.</w:t>
      </w:r>
    </w:p>
    <w:p w14:paraId="6BEE75E1" w14:textId="652504FE" w:rsidR="001675FE" w:rsidRDefault="001675FE" w:rsidP="00482513">
      <w:pPr>
        <w:pStyle w:val="ListParagraph"/>
        <w:numPr>
          <w:ilvl w:val="0"/>
          <w:numId w:val="3"/>
        </w:numPr>
        <w:spacing w:after="0"/>
        <w:rPr>
          <w:rStyle w:val="Hyperlink"/>
          <w:rFonts w:asciiTheme="minorHAnsi" w:hAnsiTheme="minorHAnsi" w:cstheme="minorHAnsi"/>
          <w:color w:val="auto"/>
          <w:u w:val="none"/>
        </w:rPr>
      </w:pPr>
      <w:r>
        <w:rPr>
          <w:rStyle w:val="Hyperlink"/>
          <w:rFonts w:asciiTheme="minorHAnsi" w:hAnsiTheme="minorHAnsi" w:cstheme="minorHAnsi"/>
          <w:color w:val="auto"/>
          <w:u w:val="none"/>
        </w:rPr>
        <w:t xml:space="preserve">The risk of an allegation being made, however small, will need to be reviewed under </w:t>
      </w:r>
      <w:r w:rsidR="00761A0B">
        <w:rPr>
          <w:rStyle w:val="Hyperlink"/>
          <w:rFonts w:asciiTheme="minorHAnsi" w:hAnsiTheme="minorHAnsi" w:cstheme="minorHAnsi"/>
          <w:color w:val="auto"/>
          <w:u w:val="none"/>
        </w:rPr>
        <w:t>the legal</w:t>
      </w:r>
      <w:r w:rsidR="00E4088E">
        <w:rPr>
          <w:rStyle w:val="Hyperlink"/>
          <w:rFonts w:asciiTheme="minorHAnsi" w:hAnsiTheme="minorHAnsi" w:cstheme="minorHAnsi"/>
          <w:color w:val="auto"/>
          <w:u w:val="none"/>
        </w:rPr>
        <w:t xml:space="preserve"> section </w:t>
      </w:r>
      <w:r w:rsidR="00761A0B">
        <w:rPr>
          <w:rStyle w:val="Hyperlink"/>
          <w:rFonts w:asciiTheme="minorHAnsi" w:hAnsiTheme="minorHAnsi" w:cstheme="minorHAnsi"/>
          <w:color w:val="auto"/>
          <w:u w:val="none"/>
        </w:rPr>
        <w:t>of the</w:t>
      </w:r>
      <w:r w:rsidR="00E4088E">
        <w:rPr>
          <w:rStyle w:val="Hyperlink"/>
          <w:rFonts w:asciiTheme="minorHAnsi" w:hAnsiTheme="minorHAnsi" w:cstheme="minorHAnsi"/>
          <w:color w:val="auto"/>
          <w:u w:val="none"/>
        </w:rPr>
        <w:t xml:space="preserve"> </w:t>
      </w:r>
      <w:r>
        <w:rPr>
          <w:rStyle w:val="Hyperlink"/>
          <w:rFonts w:asciiTheme="minorHAnsi" w:hAnsiTheme="minorHAnsi" w:cstheme="minorHAnsi"/>
          <w:color w:val="auto"/>
          <w:u w:val="none"/>
        </w:rPr>
        <w:t>Councils Risk Management Policy</w:t>
      </w:r>
      <w:r w:rsidR="00E4088E">
        <w:rPr>
          <w:rStyle w:val="Hyperlink"/>
          <w:rFonts w:asciiTheme="minorHAnsi" w:hAnsiTheme="minorHAnsi" w:cstheme="minorHAnsi"/>
          <w:color w:val="auto"/>
          <w:u w:val="none"/>
        </w:rPr>
        <w:t>.</w:t>
      </w:r>
    </w:p>
    <w:p w14:paraId="1677D321" w14:textId="6514F6EF" w:rsidR="001675FE" w:rsidRDefault="001675FE" w:rsidP="00E4088E">
      <w:pPr>
        <w:pStyle w:val="ListParagraph"/>
        <w:spacing w:after="0"/>
        <w:rPr>
          <w:rStyle w:val="Hyperlink"/>
          <w:rFonts w:asciiTheme="minorHAnsi" w:hAnsiTheme="minorHAnsi" w:cstheme="minorHAnsi"/>
          <w:color w:val="auto"/>
          <w:u w:val="none"/>
        </w:rPr>
      </w:pPr>
    </w:p>
    <w:p w14:paraId="705223A3" w14:textId="77777777" w:rsidR="00E4088E" w:rsidRPr="00D2134D" w:rsidRDefault="00E4088E" w:rsidP="00E4088E">
      <w:pPr>
        <w:pStyle w:val="ListParagraph"/>
        <w:spacing w:after="0"/>
        <w:rPr>
          <w:rStyle w:val="Hyperlink"/>
          <w:rFonts w:asciiTheme="minorHAnsi" w:hAnsiTheme="minorHAnsi" w:cstheme="minorHAnsi"/>
          <w:color w:val="auto"/>
          <w:u w:val="none"/>
        </w:rPr>
      </w:pPr>
    </w:p>
    <w:p w14:paraId="4B35F09A" w14:textId="6F5C2FFD" w:rsidR="00AA34A5" w:rsidRDefault="00AA34A5" w:rsidP="00482513">
      <w:pPr>
        <w:spacing w:after="0"/>
        <w:rPr>
          <w:rStyle w:val="Hyperlink"/>
          <w:rFonts w:asciiTheme="minorHAnsi" w:hAnsiTheme="minorHAnsi" w:cstheme="minorHAnsi"/>
          <w:color w:val="auto"/>
          <w:u w:val="none"/>
        </w:rPr>
      </w:pPr>
    </w:p>
    <w:p w14:paraId="4B8F394E" w14:textId="1402359E" w:rsidR="00482513" w:rsidRPr="00F13F43" w:rsidRDefault="00AA34A5" w:rsidP="00F13F43">
      <w:pPr>
        <w:spacing w:after="0"/>
        <w:rPr>
          <w:rStyle w:val="Hyperlink"/>
          <w:rFonts w:asciiTheme="minorHAnsi" w:hAnsiTheme="minorHAnsi" w:cstheme="minorHAnsi"/>
          <w:color w:val="auto"/>
          <w:u w:val="none"/>
        </w:rPr>
      </w:pPr>
      <w:r>
        <w:rPr>
          <w:rStyle w:val="Hyperlink"/>
          <w:rFonts w:asciiTheme="minorHAnsi" w:hAnsiTheme="minorHAnsi" w:cstheme="minorHAnsi"/>
          <w:color w:val="auto"/>
          <w:u w:val="none"/>
        </w:rPr>
        <w:t>Tony McCord</w:t>
      </w:r>
      <w:r w:rsidR="00915F8A">
        <w:rPr>
          <w:rStyle w:val="Hyperlink"/>
          <w:rFonts w:asciiTheme="minorHAnsi" w:hAnsiTheme="minorHAnsi" w:cstheme="minorHAnsi"/>
          <w:color w:val="auto"/>
          <w:u w:val="none"/>
        </w:rPr>
        <w:t xml:space="preserve"> (</w:t>
      </w:r>
      <w:r>
        <w:rPr>
          <w:rStyle w:val="Hyperlink"/>
          <w:rFonts w:asciiTheme="minorHAnsi" w:hAnsiTheme="minorHAnsi" w:cstheme="minorHAnsi"/>
          <w:color w:val="auto"/>
          <w:u w:val="none"/>
        </w:rPr>
        <w:t xml:space="preserve">Clerk/Responsible Finance </w:t>
      </w:r>
      <w:r w:rsidR="00761A0B">
        <w:rPr>
          <w:rStyle w:val="Hyperlink"/>
          <w:rFonts w:asciiTheme="minorHAnsi" w:hAnsiTheme="minorHAnsi" w:cstheme="minorHAnsi"/>
          <w:color w:val="auto"/>
          <w:u w:val="none"/>
        </w:rPr>
        <w:t xml:space="preserve">Officer)  </w:t>
      </w:r>
      <w:r w:rsidR="00E4088E">
        <w:rPr>
          <w:rStyle w:val="Hyperlink"/>
          <w:rFonts w:asciiTheme="minorHAnsi" w:hAnsiTheme="minorHAnsi" w:cstheme="minorHAnsi"/>
          <w:color w:val="auto"/>
          <w:u w:val="none"/>
        </w:rPr>
        <w:t xml:space="preserve">                                                          </w:t>
      </w:r>
      <w:r w:rsidR="00F13F43">
        <w:rPr>
          <w:rStyle w:val="Hyperlink"/>
          <w:rFonts w:asciiTheme="minorHAnsi" w:hAnsiTheme="minorHAnsi" w:cstheme="minorHAnsi"/>
          <w:color w:val="auto"/>
          <w:u w:val="none"/>
        </w:rPr>
        <w:t xml:space="preserve"> 1</w:t>
      </w:r>
      <w:r w:rsidR="00E4088E">
        <w:rPr>
          <w:rStyle w:val="Hyperlink"/>
          <w:rFonts w:asciiTheme="minorHAnsi" w:hAnsiTheme="minorHAnsi" w:cstheme="minorHAnsi"/>
          <w:color w:val="auto"/>
          <w:u w:val="none"/>
        </w:rPr>
        <w:t>8</w:t>
      </w:r>
      <w:r w:rsidR="00F13F43">
        <w:rPr>
          <w:rStyle w:val="Hyperlink"/>
          <w:rFonts w:asciiTheme="minorHAnsi" w:hAnsiTheme="minorHAnsi" w:cstheme="minorHAnsi"/>
          <w:color w:val="auto"/>
          <w:u w:val="none"/>
        </w:rPr>
        <w:t>:09:2020</w:t>
      </w:r>
    </w:p>
    <w:sectPr w:rsidR="00482513" w:rsidRPr="00F13F4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3E8AF" w14:textId="77777777" w:rsidR="004222C3" w:rsidRDefault="004222C3" w:rsidP="00FB6C88">
      <w:pPr>
        <w:spacing w:after="0" w:line="240" w:lineRule="auto"/>
      </w:pPr>
      <w:r>
        <w:separator/>
      </w:r>
    </w:p>
  </w:endnote>
  <w:endnote w:type="continuationSeparator" w:id="0">
    <w:p w14:paraId="6091BAE7" w14:textId="77777777" w:rsidR="004222C3" w:rsidRDefault="004222C3" w:rsidP="00FB6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E577B" w14:textId="77777777" w:rsidR="00FB6C88" w:rsidRDefault="00FB6C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54380211"/>
      <w:docPartObj>
        <w:docPartGallery w:val="Page Numbers (Bottom of Page)"/>
        <w:docPartUnique/>
      </w:docPartObj>
    </w:sdtPr>
    <w:sdtEndPr/>
    <w:sdtContent>
      <w:sdt>
        <w:sdtPr>
          <w:id w:val="-1769616900"/>
          <w:docPartObj>
            <w:docPartGallery w:val="Page Numbers (Top of Page)"/>
            <w:docPartUnique/>
          </w:docPartObj>
        </w:sdtPr>
        <w:sdtEndPr/>
        <w:sdtContent>
          <w:p w14:paraId="2D02694E" w14:textId="09344D71" w:rsidR="00E4088E" w:rsidRDefault="00E4088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E5257B" w14:textId="77777777" w:rsidR="00FB6C88" w:rsidRDefault="00FB6C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8881F" w14:textId="77777777" w:rsidR="00FB6C88" w:rsidRDefault="00FB6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3C4C2" w14:textId="77777777" w:rsidR="004222C3" w:rsidRDefault="004222C3" w:rsidP="00FB6C88">
      <w:pPr>
        <w:spacing w:after="0" w:line="240" w:lineRule="auto"/>
      </w:pPr>
      <w:r>
        <w:separator/>
      </w:r>
    </w:p>
  </w:footnote>
  <w:footnote w:type="continuationSeparator" w:id="0">
    <w:p w14:paraId="31953CFD" w14:textId="77777777" w:rsidR="004222C3" w:rsidRDefault="004222C3" w:rsidP="00FB6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2F3F6" w14:textId="77777777" w:rsidR="00FB6C88" w:rsidRDefault="00FB6C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777E9" w14:textId="7A63D29C" w:rsidR="00FB6C88" w:rsidRDefault="00FB6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7748D" w14:textId="77777777" w:rsidR="00FB6C88" w:rsidRDefault="00FB6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C92654"/>
    <w:multiLevelType w:val="hybridMultilevel"/>
    <w:tmpl w:val="538A6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A546CD"/>
    <w:multiLevelType w:val="hybridMultilevel"/>
    <w:tmpl w:val="BFCEFCD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51E87036"/>
    <w:multiLevelType w:val="hybridMultilevel"/>
    <w:tmpl w:val="33E07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3E33"/>
    <w:rsid w:val="0001263C"/>
    <w:rsid w:val="00020832"/>
    <w:rsid w:val="00023F0C"/>
    <w:rsid w:val="00024C47"/>
    <w:rsid w:val="0004432D"/>
    <w:rsid w:val="000E68F0"/>
    <w:rsid w:val="001076AD"/>
    <w:rsid w:val="00116683"/>
    <w:rsid w:val="00125256"/>
    <w:rsid w:val="001401F0"/>
    <w:rsid w:val="00166483"/>
    <w:rsid w:val="001675FE"/>
    <w:rsid w:val="00173192"/>
    <w:rsid w:val="00204DBC"/>
    <w:rsid w:val="0021046B"/>
    <w:rsid w:val="00224F0A"/>
    <w:rsid w:val="00236376"/>
    <w:rsid w:val="00237C53"/>
    <w:rsid w:val="00264D5A"/>
    <w:rsid w:val="00280B56"/>
    <w:rsid w:val="002F5910"/>
    <w:rsid w:val="00313A8A"/>
    <w:rsid w:val="00341BB7"/>
    <w:rsid w:val="003707D1"/>
    <w:rsid w:val="003E56CC"/>
    <w:rsid w:val="00400A24"/>
    <w:rsid w:val="00402F6F"/>
    <w:rsid w:val="004222C3"/>
    <w:rsid w:val="00440B35"/>
    <w:rsid w:val="00482513"/>
    <w:rsid w:val="00493496"/>
    <w:rsid w:val="004E6971"/>
    <w:rsid w:val="005458CB"/>
    <w:rsid w:val="00571DE2"/>
    <w:rsid w:val="00575428"/>
    <w:rsid w:val="00597166"/>
    <w:rsid w:val="00612567"/>
    <w:rsid w:val="006227C9"/>
    <w:rsid w:val="0063611A"/>
    <w:rsid w:val="00641AE1"/>
    <w:rsid w:val="006734D9"/>
    <w:rsid w:val="0068111F"/>
    <w:rsid w:val="0068219E"/>
    <w:rsid w:val="006B3649"/>
    <w:rsid w:val="006C0AAF"/>
    <w:rsid w:val="006C1612"/>
    <w:rsid w:val="006C559B"/>
    <w:rsid w:val="006C6A81"/>
    <w:rsid w:val="00706ED3"/>
    <w:rsid w:val="007352B5"/>
    <w:rsid w:val="00752C04"/>
    <w:rsid w:val="00754242"/>
    <w:rsid w:val="00761A0B"/>
    <w:rsid w:val="00784CB0"/>
    <w:rsid w:val="007E2C67"/>
    <w:rsid w:val="00807B0B"/>
    <w:rsid w:val="008227DA"/>
    <w:rsid w:val="00872981"/>
    <w:rsid w:val="00872C07"/>
    <w:rsid w:val="00877B8D"/>
    <w:rsid w:val="008A125F"/>
    <w:rsid w:val="008A7535"/>
    <w:rsid w:val="008D1EF1"/>
    <w:rsid w:val="009036C0"/>
    <w:rsid w:val="00915F8A"/>
    <w:rsid w:val="009551DA"/>
    <w:rsid w:val="009A20CF"/>
    <w:rsid w:val="009E0AE8"/>
    <w:rsid w:val="009F7979"/>
    <w:rsid w:val="00A0631A"/>
    <w:rsid w:val="00A069C1"/>
    <w:rsid w:val="00A27D4B"/>
    <w:rsid w:val="00A343EA"/>
    <w:rsid w:val="00A46506"/>
    <w:rsid w:val="00A559FE"/>
    <w:rsid w:val="00A90D21"/>
    <w:rsid w:val="00AA34A5"/>
    <w:rsid w:val="00AB1D21"/>
    <w:rsid w:val="00B11DDF"/>
    <w:rsid w:val="00B233EF"/>
    <w:rsid w:val="00BB00DD"/>
    <w:rsid w:val="00BE24F7"/>
    <w:rsid w:val="00BE5D32"/>
    <w:rsid w:val="00BF1EE1"/>
    <w:rsid w:val="00C54EBB"/>
    <w:rsid w:val="00C72CE4"/>
    <w:rsid w:val="00C72D09"/>
    <w:rsid w:val="00CA6D78"/>
    <w:rsid w:val="00CD6206"/>
    <w:rsid w:val="00D13E95"/>
    <w:rsid w:val="00D2134D"/>
    <w:rsid w:val="00D449CE"/>
    <w:rsid w:val="00D51B2F"/>
    <w:rsid w:val="00D918D8"/>
    <w:rsid w:val="00DA6DFC"/>
    <w:rsid w:val="00DC05AA"/>
    <w:rsid w:val="00E203D2"/>
    <w:rsid w:val="00E4088E"/>
    <w:rsid w:val="00E8215C"/>
    <w:rsid w:val="00E83E33"/>
    <w:rsid w:val="00E855D9"/>
    <w:rsid w:val="00E863DA"/>
    <w:rsid w:val="00F13F43"/>
    <w:rsid w:val="00F26383"/>
    <w:rsid w:val="00F31C14"/>
    <w:rsid w:val="00F33DA4"/>
    <w:rsid w:val="00F83758"/>
    <w:rsid w:val="00FB6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ADB05"/>
  <w15:chartTrackingRefBased/>
  <w15:docId w15:val="{2CA18277-0809-4F5E-B8C1-6C4BA6723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3"/>
    <w:pPr>
      <w:spacing w:after="160" w:line="254"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5256"/>
    <w:rPr>
      <w:color w:val="0000FF" w:themeColor="hyperlink"/>
      <w:u w:val="single"/>
    </w:rPr>
  </w:style>
  <w:style w:type="character" w:styleId="UnresolvedMention">
    <w:name w:val="Unresolved Mention"/>
    <w:basedOn w:val="DefaultParagraphFont"/>
    <w:uiPriority w:val="99"/>
    <w:semiHidden/>
    <w:unhideWhenUsed/>
    <w:rsid w:val="00125256"/>
    <w:rPr>
      <w:color w:val="605E5C"/>
      <w:shd w:val="clear" w:color="auto" w:fill="E1DFDD"/>
    </w:rPr>
  </w:style>
  <w:style w:type="paragraph" w:styleId="ListParagraph">
    <w:name w:val="List Paragraph"/>
    <w:basedOn w:val="Normal"/>
    <w:uiPriority w:val="34"/>
    <w:qFormat/>
    <w:rsid w:val="00125256"/>
    <w:pPr>
      <w:ind w:left="720"/>
      <w:contextualSpacing/>
    </w:pPr>
  </w:style>
  <w:style w:type="paragraph" w:styleId="Header">
    <w:name w:val="header"/>
    <w:basedOn w:val="Normal"/>
    <w:link w:val="HeaderChar"/>
    <w:uiPriority w:val="99"/>
    <w:unhideWhenUsed/>
    <w:rsid w:val="00FB6C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6C88"/>
    <w:rPr>
      <w:rFonts w:ascii="Arial" w:eastAsia="Calibri" w:hAnsi="Arial" w:cs="Arial"/>
    </w:rPr>
  </w:style>
  <w:style w:type="paragraph" w:styleId="Footer">
    <w:name w:val="footer"/>
    <w:basedOn w:val="Normal"/>
    <w:link w:val="FooterChar"/>
    <w:uiPriority w:val="99"/>
    <w:unhideWhenUsed/>
    <w:rsid w:val="00FB6C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6C88"/>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03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1153</TotalTime>
  <Pages>3</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28</cp:revision>
  <dcterms:created xsi:type="dcterms:W3CDTF">2020-09-09T13:54:00Z</dcterms:created>
  <dcterms:modified xsi:type="dcterms:W3CDTF">2020-09-30T15:37:00Z</dcterms:modified>
</cp:coreProperties>
</file>